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Default ContentType="image/png" Extension="png"/>
  <Override ContentType="image/x-emf" PartName="/word/media/image11.emf"/>
  <Override ContentType="image/x-emf" PartName="/word/media/image13.emf"/>
  <Override ContentType="image/x-emf" PartName="/word/media/image7.emf"/>
  <Override ContentType="image/x-emf" PartName="/word/media/image8.emf"/>
  <Override ContentType="image/x-emf" PartName="/word/media/image9.e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eastAsia="仿宋_GB2312"/>
          <w:b/>
          <w:sz w:val="32"/>
          <w:szCs w:val="21"/>
        </w:rPr>
      </w:pPr>
      <w:r>
        <w:rPr>
          <w:rFonts w:eastAsia="仿宋_GB2312"/>
          <w:b/>
          <w:sz w:val="32"/>
          <w:szCs w:val="21"/>
        </w:rPr>
        <w:t>第八届全国大学生创新创业年会学术论文推荐意见表</w:t>
      </w:r>
    </w:p>
    <w:p>
      <w:pPr>
        <w:spacing w:afterLines="50" w:line="560" w:lineRule="exact"/>
        <w:jc w:val="center"/>
        <w:rPr>
          <w:rFonts w:hint="eastAsia" w:ascii="宋体" w:hAnsi="宋体" w:eastAsia="宋体" w:cs="宋体"/>
          <w:b w:val="0"/>
          <w:bCs/>
          <w:sz w:val="24"/>
          <w:szCs w:val="28"/>
        </w:rPr>
      </w:pPr>
      <w:r>
        <w:rPr>
          <w:rFonts w:eastAsia="仿宋_GB2312"/>
          <w:b/>
          <w:sz w:val="24"/>
          <w:szCs w:val="28"/>
        </w:rPr>
        <w:t>中央部委所属高校名或省份名：</w:t>
      </w:r>
      <w:r>
        <w:rPr>
          <w:rFonts w:hint="eastAsia" w:ascii="宋体" w:hAnsi="宋体" w:eastAsia="宋体" w:cs="宋体"/>
          <w:b w:val="0"/>
          <w:bCs/>
          <w:sz w:val="24"/>
          <w:szCs w:val="28"/>
        </w:rPr>
        <w:t>江苏省</w:t>
      </w:r>
      <w:r>
        <w:rPr>
          <w:rFonts w:hint="eastAsia" w:ascii="宋体" w:hAnsi="宋体" w:eastAsia="宋体" w:cs="宋体"/>
          <w:b w:val="0"/>
          <w:bCs/>
          <w:sz w:val="24"/>
          <w:szCs w:val="28"/>
          <w:lang w:eastAsia="zh-CN"/>
        </w:rPr>
        <w:t>苏州科技学院</w:t>
      </w:r>
      <w:r>
        <w:rPr>
          <w:rFonts w:hint="eastAsia" w:ascii="宋体" w:hAnsi="宋体" w:eastAsia="宋体" w:cs="宋体"/>
          <w:b w:val="0"/>
          <w:bCs/>
          <w:sz w:val="24"/>
          <w:szCs w:val="28"/>
        </w:rPr>
        <w:t xml:space="preserve">  </w:t>
      </w:r>
      <w:r>
        <w:rPr>
          <w:rFonts w:eastAsia="仿宋_GB2312"/>
          <w:b/>
          <w:sz w:val="24"/>
          <w:szCs w:val="28"/>
        </w:rPr>
        <w:t xml:space="preserve">  学科类别：</w:t>
      </w:r>
      <w:r>
        <w:rPr>
          <w:rFonts w:hint="eastAsia" w:ascii="宋体" w:hAnsi="宋体" w:eastAsia="宋体" w:cs="宋体"/>
          <w:b w:val="0"/>
          <w:bCs/>
          <w:sz w:val="24"/>
          <w:szCs w:val="28"/>
        </w:rPr>
        <w:t>理</w:t>
      </w:r>
      <w:r>
        <w:rPr>
          <w:rFonts w:hint="eastAsia" w:ascii="宋体" w:hAnsi="宋体" w:eastAsia="宋体" w:cs="宋体"/>
          <w:b w:val="0"/>
          <w:bCs/>
          <w:sz w:val="24"/>
          <w:szCs w:val="28"/>
          <w:lang w:eastAsia="zh-CN"/>
        </w:rPr>
        <w:t>学</w:t>
      </w:r>
    </w:p>
    <w:tbl>
      <w:tblPr>
        <w:tblStyle w:val="39"/>
        <w:tblW w:w="8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9"/>
        <w:gridCol w:w="17"/>
        <w:gridCol w:w="807"/>
        <w:gridCol w:w="1455"/>
        <w:gridCol w:w="1498"/>
        <w:gridCol w:w="1276"/>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66" w:type="dxa"/>
            <w:gridSpan w:val="2"/>
            <w:vAlign w:val="center"/>
          </w:tcPr>
          <w:p>
            <w:pPr>
              <w:spacing w:line="560" w:lineRule="exact"/>
              <w:jc w:val="center"/>
              <w:rPr>
                <w:rFonts w:eastAsia="仿宋_GB2312"/>
                <w:sz w:val="24"/>
                <w:szCs w:val="28"/>
              </w:rPr>
            </w:pPr>
            <w:r>
              <w:rPr>
                <w:rFonts w:eastAsia="仿宋_GB2312"/>
                <w:sz w:val="24"/>
                <w:szCs w:val="28"/>
              </w:rPr>
              <w:t>学术论文题目</w:t>
            </w:r>
          </w:p>
        </w:tc>
        <w:tc>
          <w:tcPr>
            <w:tcW w:w="7142" w:type="dxa"/>
            <w:gridSpan w:val="5"/>
            <w:vAlign w:val="center"/>
          </w:tcPr>
          <w:p>
            <w:pPr>
              <w:spacing w:line="560" w:lineRule="exact"/>
              <w:jc w:val="center"/>
              <w:rPr>
                <w:rFonts w:eastAsia="仿宋_GB2312"/>
                <w:sz w:val="24"/>
                <w:szCs w:val="28"/>
              </w:rPr>
            </w:pPr>
            <w:r>
              <w:rPr>
                <w:rFonts w:eastAsia="仿宋_GB2312"/>
                <w:sz w:val="24"/>
                <w:szCs w:val="28"/>
              </w:rPr>
              <w:t>农业土壤生态功能稳定性的影响因素研究及其相关性分析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66" w:type="dxa"/>
            <w:gridSpan w:val="2"/>
            <w:vAlign w:val="center"/>
          </w:tcPr>
          <w:p>
            <w:pPr>
              <w:spacing w:line="560" w:lineRule="exact"/>
              <w:jc w:val="center"/>
              <w:rPr>
                <w:rFonts w:eastAsia="仿宋_GB2312"/>
                <w:sz w:val="24"/>
                <w:szCs w:val="28"/>
              </w:rPr>
            </w:pPr>
            <w:r>
              <w:rPr>
                <w:rFonts w:eastAsia="仿宋_GB2312"/>
                <w:sz w:val="24"/>
                <w:szCs w:val="28"/>
              </w:rPr>
              <w:t>项目名称</w:t>
            </w:r>
          </w:p>
        </w:tc>
        <w:tc>
          <w:tcPr>
            <w:tcW w:w="7142" w:type="dxa"/>
            <w:gridSpan w:val="5"/>
            <w:vAlign w:val="center"/>
          </w:tcPr>
          <w:p>
            <w:pPr>
              <w:spacing w:line="560" w:lineRule="exact"/>
              <w:jc w:val="center"/>
              <w:rPr>
                <w:rFonts w:eastAsia="仿宋_GB2312"/>
                <w:sz w:val="24"/>
                <w:szCs w:val="28"/>
              </w:rPr>
            </w:pPr>
            <w:r>
              <w:rPr>
                <w:rFonts w:eastAsia="仿宋_GB2312"/>
                <w:sz w:val="24"/>
                <w:szCs w:val="28"/>
              </w:rPr>
              <w:t>土壤功能抵抗力与恢复力建模及影响因素敏感性分析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66" w:type="dxa"/>
            <w:gridSpan w:val="2"/>
            <w:vAlign w:val="center"/>
          </w:tcPr>
          <w:p>
            <w:pPr>
              <w:spacing w:line="560" w:lineRule="exact"/>
              <w:jc w:val="center"/>
              <w:rPr>
                <w:rFonts w:eastAsia="仿宋_GB2312"/>
                <w:sz w:val="24"/>
                <w:szCs w:val="28"/>
              </w:rPr>
            </w:pPr>
            <w:r>
              <w:rPr>
                <w:rFonts w:eastAsia="仿宋_GB2312"/>
                <w:sz w:val="24"/>
                <w:szCs w:val="28"/>
              </w:rPr>
              <w:t>作者姓名</w:t>
            </w:r>
          </w:p>
        </w:tc>
        <w:tc>
          <w:tcPr>
            <w:tcW w:w="3760" w:type="dxa"/>
            <w:gridSpan w:val="3"/>
            <w:vAlign w:val="center"/>
          </w:tcPr>
          <w:p>
            <w:pPr>
              <w:spacing w:line="560" w:lineRule="exact"/>
              <w:jc w:val="center"/>
              <w:rPr>
                <w:rFonts w:eastAsia="仿宋_GB2312"/>
                <w:sz w:val="24"/>
                <w:szCs w:val="28"/>
              </w:rPr>
            </w:pPr>
            <w:r>
              <w:rPr>
                <w:rFonts w:eastAsia="仿宋_GB2312"/>
                <w:sz w:val="24"/>
                <w:szCs w:val="28"/>
              </w:rPr>
              <w:t>陈欣瑶</w:t>
            </w:r>
          </w:p>
        </w:tc>
        <w:tc>
          <w:tcPr>
            <w:tcW w:w="1276" w:type="dxa"/>
            <w:vAlign w:val="center"/>
          </w:tcPr>
          <w:p>
            <w:pPr>
              <w:spacing w:line="560" w:lineRule="exact"/>
              <w:jc w:val="center"/>
              <w:rPr>
                <w:rFonts w:eastAsia="仿宋_GB2312"/>
                <w:sz w:val="24"/>
                <w:szCs w:val="28"/>
              </w:rPr>
            </w:pPr>
            <w:r>
              <w:rPr>
                <w:rFonts w:eastAsia="仿宋_GB2312"/>
                <w:sz w:val="24"/>
                <w:szCs w:val="28"/>
              </w:rPr>
              <w:t>项目编号</w:t>
            </w:r>
          </w:p>
        </w:tc>
        <w:tc>
          <w:tcPr>
            <w:tcW w:w="2106" w:type="dxa"/>
            <w:vAlign w:val="center"/>
          </w:tcPr>
          <w:p>
            <w:pPr>
              <w:spacing w:line="560" w:lineRule="exact"/>
              <w:jc w:val="center"/>
              <w:rPr>
                <w:rFonts w:eastAsia="仿宋_GB2312"/>
                <w:sz w:val="24"/>
              </w:rPr>
            </w:pPr>
            <w:r>
              <w:rPr>
                <w:rFonts w:eastAsia="仿宋_GB2312"/>
                <w:sz w:val="24"/>
              </w:rPr>
              <w:t>201410332029Y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66" w:type="dxa"/>
            <w:gridSpan w:val="2"/>
            <w:vAlign w:val="center"/>
          </w:tcPr>
          <w:p>
            <w:pPr>
              <w:spacing w:line="560" w:lineRule="exact"/>
              <w:jc w:val="center"/>
              <w:rPr>
                <w:rFonts w:eastAsia="仿宋_GB2312"/>
                <w:sz w:val="24"/>
                <w:szCs w:val="28"/>
              </w:rPr>
            </w:pPr>
            <w:r>
              <w:rPr>
                <w:rFonts w:eastAsia="仿宋_GB2312"/>
                <w:sz w:val="24"/>
                <w:szCs w:val="28"/>
              </w:rPr>
              <w:t>已获资助金额</w:t>
            </w:r>
          </w:p>
        </w:tc>
        <w:tc>
          <w:tcPr>
            <w:tcW w:w="3760" w:type="dxa"/>
            <w:gridSpan w:val="3"/>
            <w:vAlign w:val="center"/>
          </w:tcPr>
          <w:p>
            <w:pPr>
              <w:spacing w:line="560" w:lineRule="exact"/>
              <w:jc w:val="center"/>
              <w:rPr>
                <w:rFonts w:eastAsia="仿宋_GB2312"/>
                <w:sz w:val="24"/>
                <w:szCs w:val="28"/>
              </w:rPr>
            </w:pPr>
            <w:r>
              <w:rPr>
                <w:rFonts w:eastAsia="仿宋_GB2312"/>
                <w:sz w:val="24"/>
                <w:szCs w:val="28"/>
              </w:rPr>
              <w:t>1650</w:t>
            </w:r>
          </w:p>
        </w:tc>
        <w:tc>
          <w:tcPr>
            <w:tcW w:w="1276" w:type="dxa"/>
            <w:vAlign w:val="center"/>
          </w:tcPr>
          <w:p>
            <w:pPr>
              <w:spacing w:line="560" w:lineRule="exact"/>
              <w:jc w:val="center"/>
              <w:rPr>
                <w:rFonts w:eastAsia="仿宋_GB2312"/>
                <w:sz w:val="24"/>
                <w:szCs w:val="28"/>
              </w:rPr>
            </w:pPr>
            <w:r>
              <w:rPr>
                <w:rFonts w:eastAsia="仿宋_GB2312"/>
                <w:sz w:val="24"/>
                <w:szCs w:val="28"/>
              </w:rPr>
              <w:t>立项时间</w:t>
            </w:r>
          </w:p>
        </w:tc>
        <w:tc>
          <w:tcPr>
            <w:tcW w:w="2106" w:type="dxa"/>
            <w:vAlign w:val="center"/>
          </w:tcPr>
          <w:p>
            <w:pPr>
              <w:spacing w:line="560" w:lineRule="exact"/>
              <w:jc w:val="center"/>
              <w:rPr>
                <w:rFonts w:eastAsia="仿宋_GB2312"/>
                <w:sz w:val="24"/>
                <w:szCs w:val="28"/>
              </w:rPr>
            </w:pPr>
            <w:r>
              <w:rPr>
                <w:rFonts w:eastAsia="仿宋_GB2312"/>
                <w:sz w:val="24"/>
                <w:szCs w:val="28"/>
              </w:rPr>
              <w:t>2014-07-18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66" w:type="dxa"/>
            <w:gridSpan w:val="2"/>
            <w:vAlign w:val="center"/>
          </w:tcPr>
          <w:p>
            <w:pPr>
              <w:spacing w:line="560" w:lineRule="exact"/>
              <w:jc w:val="center"/>
              <w:rPr>
                <w:rFonts w:eastAsia="仿宋_GB2312"/>
                <w:sz w:val="24"/>
                <w:szCs w:val="28"/>
              </w:rPr>
            </w:pPr>
            <w:r>
              <w:rPr>
                <w:rFonts w:eastAsia="仿宋_GB2312"/>
                <w:sz w:val="24"/>
                <w:szCs w:val="28"/>
              </w:rPr>
              <w:t>项目成员</w:t>
            </w:r>
          </w:p>
        </w:tc>
        <w:tc>
          <w:tcPr>
            <w:tcW w:w="3760" w:type="dxa"/>
            <w:gridSpan w:val="3"/>
            <w:vAlign w:val="center"/>
          </w:tcPr>
          <w:p>
            <w:pPr>
              <w:spacing w:line="560" w:lineRule="exact"/>
              <w:jc w:val="center"/>
              <w:rPr>
                <w:rFonts w:eastAsia="仿宋_GB2312"/>
                <w:szCs w:val="21"/>
              </w:rPr>
            </w:pPr>
            <w:r>
              <w:rPr>
                <w:rFonts w:eastAsia="仿宋_GB2312"/>
                <w:szCs w:val="21"/>
              </w:rPr>
              <w:t>陈楸健 吴雨晴 王雅</w:t>
            </w:r>
            <w:bookmarkStart w:id="77" w:name="_GoBack"/>
            <w:bookmarkEnd w:id="77"/>
            <w:r>
              <w:rPr>
                <w:rFonts w:eastAsia="仿宋_GB2312"/>
                <w:szCs w:val="21"/>
              </w:rPr>
              <w:t>洁 赵浦秋 张雯</w:t>
            </w:r>
          </w:p>
        </w:tc>
        <w:tc>
          <w:tcPr>
            <w:tcW w:w="1276" w:type="dxa"/>
            <w:vAlign w:val="center"/>
          </w:tcPr>
          <w:p>
            <w:pPr>
              <w:spacing w:line="560" w:lineRule="exact"/>
              <w:jc w:val="center"/>
              <w:rPr>
                <w:rFonts w:eastAsia="仿宋_GB2312"/>
                <w:sz w:val="24"/>
                <w:szCs w:val="28"/>
              </w:rPr>
            </w:pPr>
            <w:r>
              <w:rPr>
                <w:rFonts w:eastAsia="仿宋_GB2312"/>
                <w:sz w:val="24"/>
                <w:szCs w:val="28"/>
              </w:rPr>
              <w:t>指导教师</w:t>
            </w:r>
          </w:p>
        </w:tc>
        <w:tc>
          <w:tcPr>
            <w:tcW w:w="2106" w:type="dxa"/>
            <w:vAlign w:val="center"/>
          </w:tcPr>
          <w:p>
            <w:pPr>
              <w:spacing w:line="560" w:lineRule="exact"/>
              <w:jc w:val="center"/>
              <w:rPr>
                <w:rFonts w:eastAsia="仿宋_GB2312"/>
                <w:sz w:val="24"/>
                <w:szCs w:val="28"/>
              </w:rPr>
            </w:pPr>
            <w:r>
              <w:rPr>
                <w:rFonts w:eastAsia="仿宋_GB2312"/>
                <w:sz w:val="24"/>
                <w:szCs w:val="28"/>
              </w:rPr>
              <w:t>张园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473" w:type="dxa"/>
            <w:gridSpan w:val="3"/>
            <w:vAlign w:val="center"/>
          </w:tcPr>
          <w:p>
            <w:pPr>
              <w:spacing w:line="560" w:lineRule="exact"/>
              <w:jc w:val="center"/>
              <w:rPr>
                <w:rFonts w:eastAsia="仿宋_GB2312"/>
                <w:sz w:val="24"/>
                <w:szCs w:val="28"/>
              </w:rPr>
            </w:pPr>
            <w:r>
              <w:rPr>
                <w:rFonts w:eastAsia="仿宋_GB2312"/>
                <w:sz w:val="24"/>
                <w:szCs w:val="28"/>
              </w:rPr>
              <w:t>论文是否正式发表过</w:t>
            </w:r>
          </w:p>
        </w:tc>
        <w:tc>
          <w:tcPr>
            <w:tcW w:w="1455" w:type="dxa"/>
            <w:vAlign w:val="center"/>
          </w:tcPr>
          <w:p>
            <w:pPr>
              <w:spacing w:line="560" w:lineRule="exact"/>
              <w:jc w:val="center"/>
              <w:rPr>
                <w:rFonts w:hint="eastAsia" w:eastAsia="仿宋_GB2312"/>
                <w:sz w:val="24"/>
                <w:szCs w:val="28"/>
                <w:lang w:eastAsia="zh-CN"/>
              </w:rPr>
            </w:pPr>
            <w:r>
              <w:rPr>
                <w:rFonts w:hint="eastAsia" w:eastAsia="仿宋_GB2312"/>
                <w:sz w:val="24"/>
                <w:szCs w:val="28"/>
                <w:lang w:val="en-US" w:eastAsia="zh-CN"/>
              </w:rPr>
              <w:t>是</w:t>
            </w:r>
          </w:p>
        </w:tc>
        <w:tc>
          <w:tcPr>
            <w:tcW w:w="1498" w:type="dxa"/>
            <w:vAlign w:val="center"/>
          </w:tcPr>
          <w:p>
            <w:pPr>
              <w:spacing w:line="560" w:lineRule="exact"/>
              <w:ind w:firstLine="240" w:firstLineChars="100"/>
              <w:jc w:val="center"/>
              <w:rPr>
                <w:rFonts w:eastAsia="仿宋_GB2312"/>
                <w:sz w:val="24"/>
                <w:szCs w:val="28"/>
              </w:rPr>
            </w:pPr>
            <w:r>
              <w:rPr>
                <w:rFonts w:eastAsia="仿宋_GB2312"/>
                <w:sz w:val="24"/>
                <w:szCs w:val="28"/>
              </w:rPr>
              <w:t>刊  号</w:t>
            </w:r>
          </w:p>
        </w:tc>
        <w:tc>
          <w:tcPr>
            <w:tcW w:w="3382" w:type="dxa"/>
            <w:gridSpan w:val="2"/>
            <w:vAlign w:val="center"/>
          </w:tcPr>
          <w:p>
            <w:pPr>
              <w:spacing w:line="560" w:lineRule="exact"/>
              <w:jc w:val="center"/>
              <w:rPr>
                <w:rFonts w:hint="eastAsia" w:eastAsia="仿宋_GB2312"/>
                <w:sz w:val="24"/>
                <w:szCs w:val="28"/>
                <w:lang w:val="en-US" w:eastAsia="zh-CN"/>
              </w:rPr>
            </w:pPr>
            <w:r>
              <w:rPr>
                <w:rFonts w:hint="eastAsia" w:eastAsia="仿宋_GB2312"/>
                <w:sz w:val="24"/>
                <w:szCs w:val="28"/>
                <w:lang w:val="en-US" w:eastAsia="zh-CN"/>
              </w:rPr>
              <w:t>CN37-1132/S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49" w:type="dxa"/>
            <w:vAlign w:val="center"/>
          </w:tcPr>
          <w:p>
            <w:pPr>
              <w:spacing w:line="560" w:lineRule="exact"/>
              <w:jc w:val="center"/>
              <w:rPr>
                <w:rFonts w:eastAsia="仿宋_GB2312"/>
                <w:sz w:val="24"/>
                <w:szCs w:val="28"/>
              </w:rPr>
            </w:pPr>
            <w:r>
              <w:rPr>
                <w:rFonts w:eastAsia="仿宋_GB2312"/>
                <w:sz w:val="24"/>
                <w:szCs w:val="28"/>
              </w:rPr>
              <w:t>期刊名称</w:t>
            </w:r>
          </w:p>
        </w:tc>
        <w:tc>
          <w:tcPr>
            <w:tcW w:w="3777" w:type="dxa"/>
            <w:gridSpan w:val="4"/>
            <w:vAlign w:val="center"/>
          </w:tcPr>
          <w:p>
            <w:pPr>
              <w:spacing w:line="560" w:lineRule="exact"/>
              <w:jc w:val="center"/>
              <w:rPr>
                <w:rFonts w:hint="eastAsia" w:eastAsia="仿宋_GB2312"/>
                <w:sz w:val="24"/>
                <w:szCs w:val="28"/>
                <w:lang w:eastAsia="zh-CN"/>
              </w:rPr>
            </w:pPr>
            <w:r>
              <w:rPr>
                <w:rFonts w:hint="eastAsia" w:eastAsia="仿宋_GB2312"/>
                <w:sz w:val="24"/>
                <w:szCs w:val="28"/>
                <w:lang w:eastAsia="zh-CN"/>
              </w:rPr>
              <w:t>山东农业大学学报（自然科学版）</w:t>
            </w:r>
          </w:p>
        </w:tc>
        <w:tc>
          <w:tcPr>
            <w:tcW w:w="1276" w:type="dxa"/>
            <w:vAlign w:val="center"/>
          </w:tcPr>
          <w:p>
            <w:pPr>
              <w:spacing w:line="560" w:lineRule="exact"/>
              <w:jc w:val="center"/>
              <w:rPr>
                <w:rFonts w:eastAsia="仿宋_GB2312"/>
                <w:sz w:val="24"/>
                <w:szCs w:val="28"/>
              </w:rPr>
            </w:pPr>
            <w:r>
              <w:rPr>
                <w:rFonts w:eastAsia="仿宋_GB2312"/>
                <w:sz w:val="24"/>
                <w:szCs w:val="28"/>
              </w:rPr>
              <w:t>期刊期次</w:t>
            </w:r>
          </w:p>
        </w:tc>
        <w:tc>
          <w:tcPr>
            <w:tcW w:w="2106" w:type="dxa"/>
            <w:vAlign w:val="center"/>
          </w:tcPr>
          <w:p>
            <w:pPr>
              <w:spacing w:line="560" w:lineRule="exact"/>
              <w:jc w:val="center"/>
              <w:rPr>
                <w:rFonts w:hint="eastAsia" w:eastAsia="仿宋_GB2312"/>
                <w:sz w:val="24"/>
                <w:szCs w:val="28"/>
                <w:lang w:val="en-US" w:eastAsia="zh-CN"/>
              </w:rPr>
            </w:pPr>
            <w:r>
              <w:rPr>
                <w:rFonts w:hint="eastAsia" w:eastAsia="仿宋_GB2312"/>
                <w:sz w:val="24"/>
                <w:szCs w:val="28"/>
                <w:lang w:val="en-US" w:eastAsia="zh-CN"/>
              </w:rPr>
              <w:t>2015年46卷6期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37" w:hRule="atLeast"/>
          <w:jc w:val="center"/>
        </w:trPr>
        <w:tc>
          <w:tcPr>
            <w:tcW w:w="8808" w:type="dxa"/>
            <w:gridSpan w:val="7"/>
            <w:vAlign w:val="top"/>
          </w:tcPr>
          <w:p>
            <w:pPr>
              <w:rPr>
                <w:rFonts w:eastAsia="仿宋_GB2312"/>
                <w:b/>
                <w:sz w:val="24"/>
                <w:szCs w:val="28"/>
              </w:rPr>
            </w:pPr>
            <w:r>
              <w:rPr>
                <w:rFonts w:eastAsia="仿宋_GB2312"/>
                <w:b/>
                <w:sz w:val="24"/>
                <w:szCs w:val="28"/>
              </w:rPr>
              <w:t>论文摘要：</w:t>
            </w:r>
          </w:p>
          <w:p>
            <w:pPr>
              <w:spacing w:line="460" w:lineRule="exact"/>
              <w:ind w:firstLine="480" w:firstLineChars="200"/>
              <w:rPr>
                <w:rFonts w:eastAsia="仿宋_GB2312"/>
                <w:sz w:val="24"/>
              </w:rPr>
            </w:pPr>
            <w:r>
              <w:rPr>
                <w:rFonts w:eastAsia="仿宋_GB2312"/>
                <w:sz w:val="24"/>
              </w:rPr>
              <w:t>目前，我国有近20%的农田土壤受到不同程度的重金属污染，直接导致农作物减产、农产品污染等问题，严重威胁食品安全及人体健康。因此，迫切需要通过揭示影响土壤生态系统稳定性的关键因素及其内在机理，来科学评价重金属污染对土壤生态系统的影响，并以此来衡量土壤的修复能力和土壤质量水平。本研究筛选全国范围内24个不同省份地区、不同类型的土壤作为研究对象，分别对土壤CO2呼吸速率、理化性质、微生物群落结构等指标进行了测定。由于土壤生态系统稳定性能够反映土壤修复能力，且可以通过土壤抵抗力和恢复力来衡量，因此，本研究选取最具代表性的重金属Cu作为胁迫，对土壤的pH、沙粒含量、粘粒含量、CEC、DOC、C/N等理化性质指标与土壤抵抗力、恢复力的相关性进行了分析。结果表明，各要素对抵抗力影响程度依次为：pH＞粘粒含量＞CEC＞DOC＞沙粒含量＞C/N；对恢复力影响程度依次为：沙粒含量＞C/N＞DOC＞CEC＞粘粒含量＞pH，其中，pH与抵抗力满足P＜0.05显著正相关，沙粒含量与恢复力满足P＜0.01显著负相关。并通过回归分析构建了线性数学模型，从而实现了在重金属Cu胁迫下，pH、沙粒含量两项关键影响因素分别对土壤抵抗力、恢复力的量化表征。同时，本研究通过大尺度采样，多元理化指标分析，实现了系统化、定量化表征土壤修复能力的目标，研究方法具有创新性，为重金属污染的土壤生态修复研究提供了新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8" w:hRule="atLeast"/>
          <w:jc w:val="center"/>
        </w:trPr>
        <w:tc>
          <w:tcPr>
            <w:tcW w:w="8808" w:type="dxa"/>
            <w:gridSpan w:val="7"/>
            <w:vAlign w:val="center"/>
          </w:tcPr>
          <w:p>
            <w:pPr>
              <w:spacing w:line="560" w:lineRule="exact"/>
              <w:rPr>
                <w:rFonts w:eastAsia="仿宋_GB2312"/>
                <w:sz w:val="24"/>
                <w:szCs w:val="28"/>
              </w:rPr>
            </w:pPr>
            <w:r>
              <w:rPr>
                <w:rFonts w:eastAsia="仿宋_GB2312"/>
                <w:sz w:val="24"/>
                <w:szCs w:val="28"/>
              </w:rPr>
              <w:t>学校推荐意见（含论文查重查新结论）：</w:t>
            </w:r>
          </w:p>
          <w:p>
            <w:pPr>
              <w:spacing w:line="560" w:lineRule="exact"/>
              <w:rPr>
                <w:rFonts w:eastAsia="仿宋_GB2312"/>
                <w:sz w:val="24"/>
                <w:szCs w:val="28"/>
              </w:rPr>
            </w:pPr>
          </w:p>
          <w:p>
            <w:pPr>
              <w:spacing w:line="560" w:lineRule="exact"/>
              <w:rPr>
                <w:rFonts w:eastAsia="仿宋_GB2312"/>
                <w:sz w:val="24"/>
                <w:szCs w:val="28"/>
              </w:rPr>
            </w:pPr>
          </w:p>
          <w:p>
            <w:pPr>
              <w:spacing w:line="560" w:lineRule="exact"/>
              <w:ind w:firstLine="5760" w:firstLineChars="2400"/>
              <w:rPr>
                <w:rFonts w:eastAsia="仿宋_GB2312"/>
                <w:sz w:val="24"/>
                <w:szCs w:val="28"/>
              </w:rPr>
            </w:pPr>
            <w:r>
              <w:rPr>
                <w:rFonts w:eastAsia="仿宋_GB2312"/>
                <w:sz w:val="24"/>
                <w:szCs w:val="28"/>
              </w:rPr>
              <w:t xml:space="preserve">（单位公章）           </w:t>
            </w:r>
          </w:p>
          <w:p>
            <w:pPr>
              <w:spacing w:line="560" w:lineRule="exact"/>
              <w:rPr>
                <w:rFonts w:eastAsia="仿宋_GB2312"/>
                <w:sz w:val="24"/>
                <w:szCs w:val="28"/>
              </w:rPr>
            </w:pPr>
            <w:r>
              <w:rPr>
                <w:rFonts w:eastAsia="仿宋_GB2312"/>
                <w:sz w:val="24"/>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5" w:hRule="atLeast"/>
          <w:jc w:val="center"/>
        </w:trPr>
        <w:tc>
          <w:tcPr>
            <w:tcW w:w="8808" w:type="dxa"/>
            <w:gridSpan w:val="7"/>
            <w:vAlign w:val="center"/>
          </w:tcPr>
          <w:p>
            <w:pPr>
              <w:spacing w:line="560" w:lineRule="exact"/>
              <w:rPr>
                <w:rFonts w:eastAsia="仿宋_GB2312"/>
                <w:sz w:val="24"/>
                <w:szCs w:val="28"/>
              </w:rPr>
            </w:pPr>
            <w:r>
              <w:rPr>
                <w:rFonts w:eastAsia="仿宋_GB2312"/>
                <w:sz w:val="24"/>
                <w:szCs w:val="28"/>
              </w:rPr>
              <w:t>年会专家组评审意见：</w:t>
            </w:r>
          </w:p>
          <w:p>
            <w:pPr>
              <w:spacing w:line="560" w:lineRule="exact"/>
              <w:rPr>
                <w:rFonts w:eastAsia="仿宋_GB2312"/>
                <w:sz w:val="24"/>
                <w:szCs w:val="28"/>
              </w:rPr>
            </w:pPr>
          </w:p>
          <w:p>
            <w:pPr>
              <w:spacing w:line="560" w:lineRule="exact"/>
              <w:rPr>
                <w:rFonts w:eastAsia="仿宋_GB2312"/>
                <w:sz w:val="24"/>
                <w:szCs w:val="28"/>
              </w:rPr>
            </w:pPr>
          </w:p>
          <w:p>
            <w:pPr>
              <w:spacing w:line="560" w:lineRule="exact"/>
              <w:rPr>
                <w:rFonts w:eastAsia="仿宋_GB2312"/>
                <w:sz w:val="24"/>
                <w:szCs w:val="28"/>
              </w:rPr>
            </w:pPr>
            <w:r>
              <w:rPr>
                <w:rFonts w:eastAsia="仿宋_GB2312"/>
                <w:sz w:val="24"/>
                <w:szCs w:val="28"/>
              </w:rPr>
              <w:t xml:space="preserve">                                                 专家 签名：</w:t>
            </w:r>
            <w:r>
              <w:rPr>
                <w:rFonts w:eastAsia="仿宋_GB2312"/>
                <w:sz w:val="24"/>
                <w:szCs w:val="28"/>
                <w:u w:val="single"/>
              </w:rPr>
              <w:t xml:space="preserve">           </w:t>
            </w:r>
            <w:r>
              <w:rPr>
                <w:rFonts w:eastAsia="仿宋_GB2312"/>
                <w:sz w:val="24"/>
                <w:szCs w:val="28"/>
              </w:rPr>
              <w:t xml:space="preserve">           </w:t>
            </w:r>
          </w:p>
          <w:p>
            <w:pPr>
              <w:spacing w:line="560" w:lineRule="exact"/>
              <w:rPr>
                <w:rFonts w:eastAsia="仿宋_GB2312"/>
                <w:sz w:val="24"/>
                <w:szCs w:val="28"/>
              </w:rPr>
            </w:pPr>
            <w:r>
              <w:rPr>
                <w:rFonts w:eastAsia="仿宋_GB2312"/>
                <w:sz w:val="24"/>
                <w:szCs w:val="28"/>
              </w:rPr>
              <w:t xml:space="preserve">                                                 年    月    日</w:t>
            </w:r>
          </w:p>
        </w:tc>
      </w:tr>
    </w:tbl>
    <w:p>
      <w:pPr>
        <w:widowControl/>
        <w:jc w:val="left"/>
        <w:rPr>
          <w:rFonts w:eastAsia="仿宋_GB2312"/>
          <w:b/>
          <w:sz w:val="24"/>
          <w:szCs w:val="28"/>
        </w:rPr>
      </w:pPr>
      <w:r>
        <w:rPr>
          <w:rFonts w:eastAsia="仿宋_GB2312"/>
          <w:b/>
          <w:sz w:val="24"/>
          <w:szCs w:val="28"/>
        </w:rPr>
        <w:t>注：学科类别请按工学、理学、农学、医学、经济学、管理学、法学、哲学、教育学、文学、历史学、艺术学、军事学等学科分类</w:t>
      </w:r>
      <w:r>
        <w:rPr>
          <w:rFonts w:eastAsia="仿宋_GB2312"/>
          <w:b/>
          <w:sz w:val="24"/>
          <w:szCs w:val="28"/>
        </w:rPr>
        <w:br w:type="page"/>
      </w:r>
    </w:p>
    <w:p>
      <w:pPr>
        <w:spacing w:beforeLines="100" w:line="560" w:lineRule="exact"/>
        <w:jc w:val="center"/>
        <w:rPr>
          <w:rFonts w:eastAsia="黑体"/>
          <w:b/>
          <w:sz w:val="44"/>
          <w:szCs w:val="44"/>
        </w:rPr>
      </w:pPr>
      <w:r>
        <w:rPr>
          <w:rFonts w:hAnsi="黑体" w:eastAsia="黑体"/>
          <w:b/>
          <w:sz w:val="44"/>
          <w:szCs w:val="44"/>
        </w:rPr>
        <w:t>农业土壤生态功能稳定性的影响因素研究及其相关性分析</w:t>
      </w:r>
    </w:p>
    <w:p>
      <w:pPr>
        <w:spacing w:line="560" w:lineRule="exact"/>
        <w:jc w:val="center"/>
        <w:rPr>
          <w:rFonts w:eastAsia="黑体"/>
          <w:b/>
          <w:sz w:val="44"/>
          <w:szCs w:val="44"/>
        </w:rPr>
      </w:pPr>
    </w:p>
    <w:p>
      <w:pPr>
        <w:spacing w:line="560" w:lineRule="exact"/>
        <w:jc w:val="center"/>
        <w:rPr>
          <w:rFonts w:eastAsia="楷体_GB2312"/>
          <w:sz w:val="28"/>
        </w:rPr>
      </w:pPr>
      <w:r>
        <w:rPr>
          <w:rFonts w:eastAsia="楷体_GB2312"/>
          <w:sz w:val="28"/>
        </w:rPr>
        <w:t>苏州科技学院  陈欣瑶 陈楸健</w:t>
      </w:r>
    </w:p>
    <w:p>
      <w:pPr>
        <w:spacing w:line="560" w:lineRule="exact"/>
        <w:jc w:val="center"/>
      </w:pPr>
      <w:r>
        <w:t>（1．苏州科技学院环境科学与工程学院，江苏苏州，215009</w:t>
      </w:r>
    </w:p>
    <w:p>
      <w:pPr>
        <w:spacing w:line="560" w:lineRule="exact"/>
        <w:jc w:val="center"/>
      </w:pPr>
      <w:r>
        <w:t>2．苏州科技学院环境科学与工程学院，江苏苏州，215009；）</w:t>
      </w:r>
      <w:r>
        <w:rPr>
          <w:rStyle w:val="38"/>
        </w:rPr>
        <w:footnoteReference w:id="0"/>
      </w:r>
    </w:p>
    <w:p>
      <w:pPr>
        <w:tabs>
          <w:tab w:val="center" w:pos="4365"/>
        </w:tabs>
        <w:spacing w:line="560" w:lineRule="exact"/>
        <w:jc w:val="center"/>
        <w:rPr>
          <w:rFonts w:eastAsia="楷体_GB2312"/>
          <w:sz w:val="28"/>
        </w:rPr>
      </w:pPr>
      <w:r>
        <w:rPr>
          <w:rFonts w:eastAsia="楷体_GB2312"/>
          <w:sz w:val="28"/>
        </w:rPr>
        <w:t>指导教师：张园  职称：讲师</w:t>
      </w:r>
    </w:p>
    <w:p>
      <w:pPr>
        <w:spacing w:line="560" w:lineRule="exact"/>
        <w:ind w:firstLine="361" w:firstLineChars="200"/>
        <w:rPr>
          <w:sz w:val="18"/>
        </w:rPr>
      </w:pPr>
      <w:r>
        <w:rPr>
          <w:rFonts w:hAnsi="宋体"/>
          <w:b/>
          <w:sz w:val="18"/>
        </w:rPr>
        <w:t>中文摘要</w:t>
      </w:r>
      <w:r>
        <w:rPr>
          <w:rFonts w:hAnsi="宋体"/>
          <w:sz w:val="18"/>
        </w:rPr>
        <w:t>：</w:t>
      </w:r>
      <w:r>
        <w:rPr>
          <w:rFonts w:hAnsi="宋体"/>
          <w:sz w:val="18"/>
          <w:szCs w:val="18"/>
        </w:rPr>
        <w:t>目前，我国有近</w:t>
      </w:r>
      <w:r>
        <w:rPr>
          <w:sz w:val="18"/>
          <w:szCs w:val="18"/>
        </w:rPr>
        <w:t>20%</w:t>
      </w:r>
      <w:r>
        <w:rPr>
          <w:rFonts w:hAnsi="宋体"/>
          <w:sz w:val="18"/>
          <w:szCs w:val="18"/>
        </w:rPr>
        <w:t>的农田土壤受到不同程度的重金属污染，直接导致农作物减产、农产品污染等问题，严重威胁食品安全及人体健康。因此，迫切需要通过揭示影响土壤生态系统稳定性的关键因素及其内在机理，来科学评价重金属污染对土壤生态系统的影响，并以此来衡量土壤的修复能力和土壤质量水平。本研究筛选全国范围内</w:t>
      </w:r>
      <w:r>
        <w:rPr>
          <w:sz w:val="18"/>
          <w:szCs w:val="18"/>
        </w:rPr>
        <w:t>24</w:t>
      </w:r>
      <w:r>
        <w:rPr>
          <w:rFonts w:hAnsi="宋体"/>
          <w:sz w:val="18"/>
          <w:szCs w:val="18"/>
        </w:rPr>
        <w:t>个不同省份地区、不同类型的土壤作为研究对象，分别对土壤</w:t>
      </w:r>
      <w:r>
        <w:rPr>
          <w:sz w:val="18"/>
          <w:szCs w:val="18"/>
        </w:rPr>
        <w:t>CO2</w:t>
      </w:r>
      <w:r>
        <w:rPr>
          <w:rFonts w:hAnsi="宋体"/>
          <w:sz w:val="18"/>
          <w:szCs w:val="18"/>
        </w:rPr>
        <w:t>呼吸速率、理化性质、微生物群落结构等指标进行了测定。由于土壤生态系统稳定性能够反映土壤修复能力，且可以通过土壤抵抗力和恢复力来衡量，因此，本研究选取最具代表性的重金属</w:t>
      </w:r>
      <w:r>
        <w:rPr>
          <w:sz w:val="18"/>
          <w:szCs w:val="18"/>
        </w:rPr>
        <w:t>Cu</w:t>
      </w:r>
      <w:r>
        <w:rPr>
          <w:rFonts w:hAnsi="宋体"/>
          <w:sz w:val="18"/>
          <w:szCs w:val="18"/>
        </w:rPr>
        <w:t>作为胁迫，对土壤的</w:t>
      </w:r>
      <w:r>
        <w:rPr>
          <w:sz w:val="18"/>
          <w:szCs w:val="18"/>
        </w:rPr>
        <w:t>pH</w:t>
      </w:r>
      <w:r>
        <w:rPr>
          <w:rFonts w:hAnsi="宋体"/>
          <w:sz w:val="18"/>
          <w:szCs w:val="18"/>
        </w:rPr>
        <w:t>、沙粒含量、粘粒含量、</w:t>
      </w:r>
      <w:r>
        <w:rPr>
          <w:sz w:val="18"/>
          <w:szCs w:val="18"/>
        </w:rPr>
        <w:t>CEC</w:t>
      </w:r>
      <w:r>
        <w:rPr>
          <w:rFonts w:hAnsi="宋体"/>
          <w:sz w:val="18"/>
          <w:szCs w:val="18"/>
        </w:rPr>
        <w:t>、</w:t>
      </w:r>
      <w:r>
        <w:rPr>
          <w:sz w:val="18"/>
          <w:szCs w:val="18"/>
        </w:rPr>
        <w:t>DOC</w:t>
      </w:r>
      <w:r>
        <w:rPr>
          <w:rFonts w:hAnsi="宋体"/>
          <w:sz w:val="18"/>
          <w:szCs w:val="18"/>
        </w:rPr>
        <w:t>、</w:t>
      </w:r>
      <w:r>
        <w:rPr>
          <w:sz w:val="18"/>
          <w:szCs w:val="18"/>
        </w:rPr>
        <w:t>C/N</w:t>
      </w:r>
      <w:r>
        <w:rPr>
          <w:rFonts w:hAnsi="宋体"/>
          <w:sz w:val="18"/>
          <w:szCs w:val="18"/>
        </w:rPr>
        <w:t>等理化性质指标与土壤抵抗力、恢复力的相关性进行了分析。结果表明，各要素对抵抗力影响程度依次为：</w:t>
      </w:r>
      <w:r>
        <w:rPr>
          <w:sz w:val="18"/>
          <w:szCs w:val="18"/>
        </w:rPr>
        <w:t>pH</w:t>
      </w:r>
      <w:r>
        <w:rPr>
          <w:rFonts w:hAnsi="宋体"/>
          <w:sz w:val="18"/>
          <w:szCs w:val="18"/>
        </w:rPr>
        <w:t>＞粘粒含量＞</w:t>
      </w:r>
      <w:r>
        <w:rPr>
          <w:sz w:val="18"/>
          <w:szCs w:val="18"/>
        </w:rPr>
        <w:t>CEC</w:t>
      </w:r>
      <w:r>
        <w:rPr>
          <w:rFonts w:hAnsi="宋体"/>
          <w:sz w:val="18"/>
          <w:szCs w:val="18"/>
        </w:rPr>
        <w:t>＞</w:t>
      </w:r>
      <w:r>
        <w:rPr>
          <w:sz w:val="18"/>
          <w:szCs w:val="18"/>
        </w:rPr>
        <w:t>DOC</w:t>
      </w:r>
      <w:r>
        <w:rPr>
          <w:rFonts w:hAnsi="宋体"/>
          <w:sz w:val="18"/>
          <w:szCs w:val="18"/>
        </w:rPr>
        <w:t>＞沙粒含量＞</w:t>
      </w:r>
      <w:r>
        <w:rPr>
          <w:sz w:val="18"/>
          <w:szCs w:val="18"/>
        </w:rPr>
        <w:t>C/N</w:t>
      </w:r>
      <w:r>
        <w:rPr>
          <w:rFonts w:hAnsi="宋体"/>
          <w:sz w:val="18"/>
          <w:szCs w:val="18"/>
        </w:rPr>
        <w:t>；对恢复力影响程度依次为：沙粒含量＞</w:t>
      </w:r>
      <w:r>
        <w:rPr>
          <w:sz w:val="18"/>
          <w:szCs w:val="18"/>
        </w:rPr>
        <w:t>C/N</w:t>
      </w:r>
      <w:r>
        <w:rPr>
          <w:rFonts w:hAnsi="宋体"/>
          <w:sz w:val="18"/>
          <w:szCs w:val="18"/>
        </w:rPr>
        <w:t>＞</w:t>
      </w:r>
      <w:r>
        <w:rPr>
          <w:sz w:val="18"/>
          <w:szCs w:val="18"/>
        </w:rPr>
        <w:t>DOC</w:t>
      </w:r>
      <w:r>
        <w:rPr>
          <w:rFonts w:hAnsi="宋体"/>
          <w:sz w:val="18"/>
          <w:szCs w:val="18"/>
        </w:rPr>
        <w:t>＞</w:t>
      </w:r>
      <w:r>
        <w:rPr>
          <w:sz w:val="18"/>
          <w:szCs w:val="18"/>
        </w:rPr>
        <w:t>CEC</w:t>
      </w:r>
      <w:r>
        <w:rPr>
          <w:rFonts w:hAnsi="宋体"/>
          <w:sz w:val="18"/>
          <w:szCs w:val="18"/>
        </w:rPr>
        <w:t>＞粘粒含量＞</w:t>
      </w:r>
      <w:r>
        <w:rPr>
          <w:sz w:val="18"/>
          <w:szCs w:val="18"/>
        </w:rPr>
        <w:t>pH</w:t>
      </w:r>
      <w:r>
        <w:rPr>
          <w:rFonts w:hAnsi="宋体"/>
          <w:sz w:val="18"/>
          <w:szCs w:val="18"/>
        </w:rPr>
        <w:t>，其中，</w:t>
      </w:r>
      <w:r>
        <w:rPr>
          <w:sz w:val="18"/>
          <w:szCs w:val="18"/>
        </w:rPr>
        <w:t>pH</w:t>
      </w:r>
      <w:r>
        <w:rPr>
          <w:rFonts w:hAnsi="宋体"/>
          <w:sz w:val="18"/>
          <w:szCs w:val="18"/>
        </w:rPr>
        <w:t>与抵抗力满足</w:t>
      </w:r>
      <w:r>
        <w:rPr>
          <w:sz w:val="18"/>
          <w:szCs w:val="18"/>
        </w:rPr>
        <w:t>P</w:t>
      </w:r>
      <w:r>
        <w:rPr>
          <w:rFonts w:hAnsi="宋体"/>
          <w:sz w:val="18"/>
          <w:szCs w:val="18"/>
        </w:rPr>
        <w:t>＜</w:t>
      </w:r>
      <w:r>
        <w:rPr>
          <w:sz w:val="18"/>
          <w:szCs w:val="18"/>
        </w:rPr>
        <w:t>0.05</w:t>
      </w:r>
      <w:r>
        <w:rPr>
          <w:rFonts w:hAnsi="宋体"/>
          <w:sz w:val="18"/>
          <w:szCs w:val="18"/>
        </w:rPr>
        <w:t>显著正相关，沙粒含量与恢复力满足</w:t>
      </w:r>
      <w:r>
        <w:rPr>
          <w:sz w:val="18"/>
          <w:szCs w:val="18"/>
        </w:rPr>
        <w:t>P</w:t>
      </w:r>
      <w:r>
        <w:rPr>
          <w:rFonts w:hAnsi="宋体"/>
          <w:sz w:val="18"/>
          <w:szCs w:val="18"/>
        </w:rPr>
        <w:t>＜</w:t>
      </w:r>
      <w:r>
        <w:rPr>
          <w:sz w:val="18"/>
          <w:szCs w:val="18"/>
        </w:rPr>
        <w:t>0.01</w:t>
      </w:r>
      <w:r>
        <w:rPr>
          <w:rFonts w:hAnsi="宋体"/>
          <w:sz w:val="18"/>
          <w:szCs w:val="18"/>
        </w:rPr>
        <w:t>显著负相关。并通过回归分析构建了线性数学模型，从而实现了在重金属</w:t>
      </w:r>
      <w:r>
        <w:rPr>
          <w:sz w:val="18"/>
          <w:szCs w:val="18"/>
        </w:rPr>
        <w:t>Cu</w:t>
      </w:r>
      <w:r>
        <w:rPr>
          <w:rFonts w:hAnsi="宋体"/>
          <w:sz w:val="18"/>
          <w:szCs w:val="18"/>
        </w:rPr>
        <w:t>胁迫下，</w:t>
      </w:r>
      <w:r>
        <w:rPr>
          <w:sz w:val="18"/>
          <w:szCs w:val="18"/>
        </w:rPr>
        <w:t>pH</w:t>
      </w:r>
      <w:r>
        <w:rPr>
          <w:rFonts w:hAnsi="宋体"/>
          <w:sz w:val="18"/>
          <w:szCs w:val="18"/>
        </w:rPr>
        <w:t>、沙粒含量两项关键影响因素分别对土壤抵抗力、恢复力的量化表征。同时，本研究通过大尺度采样，多元理化指标分析，实现了系统化、定量化表征土壤修复能力的目标，研究方法具有创新性，为重金属污染的土壤生态修复研究提供了新思路。</w:t>
      </w:r>
    </w:p>
    <w:p>
      <w:pPr>
        <w:spacing w:line="560" w:lineRule="exact"/>
        <w:ind w:firstLine="361" w:firstLineChars="200"/>
        <w:rPr>
          <w:sz w:val="18"/>
        </w:rPr>
      </w:pPr>
      <w:r>
        <w:rPr>
          <w:rFonts w:hAnsi="宋体"/>
          <w:b/>
          <w:sz w:val="18"/>
        </w:rPr>
        <w:t>关键词</w:t>
      </w:r>
      <w:r>
        <w:rPr>
          <w:rFonts w:hAnsi="宋体"/>
          <w:sz w:val="18"/>
        </w:rPr>
        <w:t>：生物多样性；</w:t>
      </w:r>
      <w:r>
        <w:rPr>
          <w:color w:val="000000"/>
          <w:sz w:val="18"/>
          <w:szCs w:val="18"/>
        </w:rPr>
        <w:t>抵抗力</w:t>
      </w:r>
      <w:r>
        <w:rPr>
          <w:rFonts w:hAnsi="宋体"/>
          <w:sz w:val="18"/>
        </w:rPr>
        <w:t>；</w:t>
      </w:r>
      <w:r>
        <w:rPr>
          <w:color w:val="000000"/>
          <w:sz w:val="18"/>
          <w:szCs w:val="18"/>
        </w:rPr>
        <w:t>恢复力</w:t>
      </w:r>
      <w:r>
        <w:rPr>
          <w:rFonts w:hAnsi="宋体"/>
          <w:sz w:val="18"/>
        </w:rPr>
        <w:t>；</w:t>
      </w:r>
      <w:r>
        <w:rPr>
          <w:color w:val="000000"/>
          <w:sz w:val="18"/>
          <w:szCs w:val="18"/>
        </w:rPr>
        <w:t>建模量化</w:t>
      </w:r>
    </w:p>
    <w:p>
      <w:pPr>
        <w:pStyle w:val="2"/>
        <w:spacing w:beforeLines="100" w:afterLines="100" w:line="560" w:lineRule="exact"/>
        <w:jc w:val="center"/>
        <w:rPr>
          <w:rFonts w:ascii="Times New Roman" w:hAnsi="Times New Roman" w:eastAsia="黑体" w:cs="Times New Roman"/>
          <w:b w:val="0"/>
          <w:bCs w:val="0"/>
          <w:sz w:val="28"/>
          <w:szCs w:val="28"/>
        </w:rPr>
      </w:pPr>
      <w:r>
        <w:rPr>
          <w:rFonts w:ascii="Times New Roman" w:hAnsi="Times New Roman" w:cs="Times New Roman"/>
          <w:b w:val="0"/>
          <w:szCs w:val="21"/>
        </w:rPr>
        <w:br w:type="page"/>
      </w:r>
      <w:bookmarkStart w:id="0" w:name="_Toc421887782"/>
      <w:r>
        <w:rPr>
          <w:rFonts w:ascii="黑体" w:hAnsi="Times New Roman" w:eastAsia="黑体" w:cs="Times New Roman"/>
          <w:b w:val="0"/>
          <w:bCs w:val="0"/>
          <w:kern w:val="2"/>
          <w:sz w:val="28"/>
          <w:szCs w:val="24"/>
        </w:rPr>
        <w:t>引  言</w:t>
      </w:r>
      <w:bookmarkEnd w:id="0"/>
    </w:p>
    <w:p>
      <w:pPr>
        <w:spacing w:line="320" w:lineRule="exact"/>
        <w:ind w:firstLine="420" w:firstLineChars="200"/>
        <w:rPr>
          <w:szCs w:val="21"/>
        </w:rPr>
      </w:pPr>
      <w:r>
        <w:rPr>
          <w:szCs w:val="21"/>
        </w:rPr>
        <w:t>随着城市化进程和工农业的快速发展，大量重金属污染物质进入土壤，导致土壤的重金属污染问题日益加剧。2014年，我国环保部和国土资源部共同发布的《全国土壤污染状况调查公报》</w:t>
      </w:r>
      <w:r>
        <w:rPr>
          <w:szCs w:val="21"/>
          <w:vertAlign w:val="superscript"/>
        </w:rPr>
        <w:t>[1]</w:t>
      </w:r>
      <w:r>
        <w:rPr>
          <w:szCs w:val="21"/>
        </w:rPr>
        <w:t>显示</w:t>
      </w:r>
      <w:bookmarkStart w:id="1" w:name="OLE_LINK7"/>
      <w:bookmarkStart w:id="2" w:name="OLE_LINK8"/>
      <w:r>
        <w:rPr>
          <w:szCs w:val="21"/>
        </w:rPr>
        <w:t>，我国耕地土壤重金属点位超标率高达12.1%。而重金属极易通过食物链富</w:t>
      </w:r>
      <w:bookmarkEnd w:id="1"/>
      <w:bookmarkEnd w:id="2"/>
      <w:r>
        <w:rPr>
          <w:szCs w:val="21"/>
        </w:rPr>
        <w:t>集，对环境和生物的危害极大，严重威胁食品安全及人体健康。因此，土壤重金属污染的治理迫在眉睫。</w:t>
      </w:r>
    </w:p>
    <w:p>
      <w:pPr>
        <w:spacing w:line="320" w:lineRule="exact"/>
        <w:ind w:firstLine="420" w:firstLineChars="200"/>
        <w:rPr>
          <w:szCs w:val="21"/>
        </w:rPr>
      </w:pPr>
      <w:r>
        <w:rPr>
          <w:szCs w:val="21"/>
        </w:rPr>
        <w:t>土</w:t>
      </w:r>
      <w:bookmarkStart w:id="3" w:name="OLE_LINK5"/>
      <w:bookmarkStart w:id="4" w:name="OLE_LINK6"/>
      <w:r>
        <w:rPr>
          <w:szCs w:val="21"/>
        </w:rPr>
        <w:t>壤生态系统具有保持或恢复自身结构和功能相对稳定的能力，即土壤生态系统的稳定性大小能够反映土壤修复能力的高低。因此，研究影响土壤生态系统稳定性的关键因素及其内在机理，对科学评价重金属污染对土壤生态系统的影响并判定其修复能力具有重要意义</w:t>
      </w:r>
      <w:bookmarkEnd w:id="3"/>
      <w:bookmarkEnd w:id="4"/>
      <w:r>
        <w:rPr>
          <w:szCs w:val="21"/>
          <w:vertAlign w:val="superscript"/>
        </w:rPr>
        <w:t>[2]</w:t>
      </w:r>
      <w:r>
        <w:rPr>
          <w:szCs w:val="21"/>
        </w:rPr>
        <w:t>。近年来，国内外关于土壤生态系统稳定性的研究主要集中在概念、方法及影响因素等方面</w:t>
      </w:r>
      <w:r>
        <w:rPr>
          <w:szCs w:val="21"/>
          <w:vertAlign w:val="superscript"/>
        </w:rPr>
        <w:t>[3]</w:t>
      </w:r>
      <w:r>
        <w:rPr>
          <w:szCs w:val="21"/>
        </w:rPr>
        <w:t>，其概念指出，稳定性的大小可由土壤微生物活性、多样性及均匀性共同衡量。生态学研究中稳定性的内涵表现为系统的抗变能力，包括抵抗力和恢复力</w:t>
      </w:r>
      <w:r>
        <w:rPr>
          <w:szCs w:val="21"/>
          <w:vertAlign w:val="superscript"/>
        </w:rPr>
        <w:t>[4-6]</w:t>
      </w:r>
      <w:r>
        <w:rPr>
          <w:szCs w:val="21"/>
        </w:rPr>
        <w:t>，其强度大小反映了生物功能在染毒过程中的变化</w:t>
      </w:r>
      <w:r>
        <w:rPr>
          <w:szCs w:val="21"/>
          <w:vertAlign w:val="superscript"/>
        </w:rPr>
        <w:t>[7-8]</w:t>
      </w:r>
      <w:r>
        <w:rPr>
          <w:szCs w:val="21"/>
        </w:rPr>
        <w:t>。因此可以在重金属胁迫条件下，通过土壤抵抗力和恢复力水平来评价土壤的质量和健康程度</w:t>
      </w:r>
      <w:r>
        <w:rPr>
          <w:szCs w:val="21"/>
          <w:vertAlign w:val="superscript"/>
        </w:rPr>
        <w:t>[9]</w:t>
      </w:r>
      <w:r>
        <w:rPr>
          <w:szCs w:val="21"/>
        </w:rPr>
        <w:t>，预测土壤在受到污染等扰动后，生态功能恢复速率与程度。</w:t>
      </w:r>
    </w:p>
    <w:p>
      <w:pPr>
        <w:spacing w:line="320" w:lineRule="exact"/>
        <w:ind w:firstLine="420" w:firstLineChars="200"/>
        <w:rPr>
          <w:szCs w:val="21"/>
        </w:rPr>
      </w:pPr>
      <w:r>
        <w:rPr>
          <w:szCs w:val="21"/>
        </w:rPr>
        <w:t>但由于土壤系统自身的复杂性，以及一些研究条件的限制，目前国内外的相关研究在样点布设时普遍存在区域局限性，且仅采用单一理化性质指标表征土壤生态系统稳定性。同时，目前的研究对选取重金属胁迫机制下的表征指标仍比较混乱，更难以定量描述重金属胁迫下土壤理化性质指标，即土壤团聚体结构、孔隙度、含水量、pH、C/N、CEC和DOC等，对土壤抵抗力与恢复力所产生的影响程度</w:t>
      </w:r>
      <w:r>
        <w:rPr>
          <w:szCs w:val="21"/>
          <w:vertAlign w:val="superscript"/>
        </w:rPr>
        <w:t>[2]</w:t>
      </w:r>
      <w:r>
        <w:rPr>
          <w:szCs w:val="21"/>
        </w:rPr>
        <w:t>。</w:t>
      </w:r>
    </w:p>
    <w:p>
      <w:pPr>
        <w:spacing w:line="320" w:lineRule="exact"/>
        <w:ind w:firstLine="420" w:firstLineChars="200"/>
        <w:rPr>
          <w:szCs w:val="21"/>
        </w:rPr>
        <w:sectPr>
          <w:headerReference r:id="rId7" w:type="first"/>
          <w:footerReference r:id="rId9" w:type="first"/>
          <w:headerReference r:id="rId5" w:type="default"/>
          <w:footerReference r:id="rId8" w:type="default"/>
          <w:headerReference r:id="rId6" w:type="even"/>
          <w:pgSz w:w="11906" w:h="16838"/>
          <w:pgMar w:top="1418" w:right="1644" w:bottom="1418" w:left="1644" w:header="851" w:footer="850" w:gutter="0"/>
          <w:pgNumType w:start="1"/>
          <w:cols w:space="720" w:num="1"/>
          <w:titlePg/>
          <w:docGrid w:linePitch="326" w:charSpace="0"/>
        </w:sectPr>
      </w:pPr>
      <w:r>
        <w:rPr>
          <w:szCs w:val="21"/>
        </w:rPr>
        <w:t>本研究筛选了全国范围内</w:t>
      </w:r>
      <w:bookmarkStart w:id="5" w:name="OLE_LINK20"/>
      <w:bookmarkStart w:id="6" w:name="OLE_LINK21"/>
      <w:bookmarkStart w:id="7" w:name="OLE_LINK22"/>
      <w:bookmarkStart w:id="8" w:name="OLE_LINK23"/>
      <w:bookmarkStart w:id="9" w:name="OLE_LINK24"/>
      <w:r>
        <w:rPr>
          <w:szCs w:val="21"/>
        </w:rPr>
        <w:t>24个不同省份地区</w:t>
      </w:r>
      <w:bookmarkEnd w:id="5"/>
      <w:bookmarkEnd w:id="6"/>
      <w:bookmarkEnd w:id="7"/>
      <w:bookmarkEnd w:id="8"/>
      <w:bookmarkEnd w:id="9"/>
      <w:r>
        <w:rPr>
          <w:szCs w:val="21"/>
        </w:rPr>
        <w:t>、不同质地类型的土壤作为研究对象，并选取有代表性的重金属Cu作为胁迫，对土壤的pH、沙粒含量、粘粒含量、CEC、DOC、C/N等理化性质指标与土壤抵抗力、恢复力的相关性进行了分析。从中发现了影响土壤抵抗力和恢复力的两个关键影响因素—— pH和沙粒含量，并通过构建数学模型，实现了对土壤抵抗力和恢复力的量化表征，弥补了当前国内外相关研究的不足，为重金属污染的土壤生态修复研究提供了新的思路。</w:t>
      </w:r>
    </w:p>
    <w:p>
      <w:pPr>
        <w:pStyle w:val="2"/>
        <w:numPr>
          <w:ilvl w:val="0"/>
          <w:numId w:val="5"/>
        </w:numPr>
        <w:spacing w:beforeLines="100" w:afterLines="100" w:line="320" w:lineRule="exact"/>
        <w:jc w:val="center"/>
        <w:rPr>
          <w:rFonts w:ascii="Times New Roman" w:hAnsi="Times New Roman" w:cs="Times New Roman"/>
          <w:sz w:val="21"/>
          <w:szCs w:val="21"/>
        </w:rPr>
      </w:pPr>
      <w:r>
        <w:rPr>
          <w:rFonts w:ascii="Times New Roman" w:hAnsi="Times New Roman" w:cs="Times New Roman"/>
          <w:sz w:val="21"/>
          <w:szCs w:val="21"/>
        </w:rPr>
        <w:br w:type="page"/>
      </w:r>
      <w:bookmarkStart w:id="10" w:name="_Toc417832543"/>
      <w:bookmarkStart w:id="11" w:name="_Toc421887783"/>
      <w:r>
        <w:rPr>
          <w:rFonts w:ascii="Times New Roman" w:hAnsi="黑体" w:eastAsia="黑体" w:cs="Times New Roman"/>
          <w:b w:val="0"/>
          <w:sz w:val="28"/>
          <w:szCs w:val="28"/>
        </w:rPr>
        <w:t>材料与方法</w:t>
      </w:r>
      <w:bookmarkEnd w:id="10"/>
      <w:bookmarkEnd w:id="11"/>
    </w:p>
    <w:p>
      <w:pPr>
        <w:pStyle w:val="57"/>
        <w:numPr>
          <w:ilvl w:val="0"/>
          <w:numId w:val="6"/>
        </w:numPr>
        <w:spacing w:before="120" w:after="120" w:line="320" w:lineRule="exact"/>
        <w:ind w:left="840" w:leftChars="200"/>
        <w:rPr>
          <w:rFonts w:hAnsi="Times New Roman" w:eastAsia="宋体"/>
          <w:sz w:val="24"/>
          <w:szCs w:val="24"/>
        </w:rPr>
      </w:pPr>
      <w:bookmarkStart w:id="12" w:name="_Toc417832544"/>
      <w:bookmarkStart w:id="13" w:name="_Toc421887784"/>
      <w:r>
        <w:rPr>
          <w:rFonts w:hAnsi="Times New Roman" w:eastAsia="宋体"/>
          <w:sz w:val="24"/>
          <w:szCs w:val="24"/>
        </w:rPr>
        <w:t>土壤样品采集与制备</w:t>
      </w:r>
      <w:bookmarkEnd w:id="12"/>
      <w:bookmarkEnd w:id="13"/>
    </w:p>
    <w:p>
      <w:pPr>
        <w:autoSpaceDE w:val="0"/>
        <w:autoSpaceDN w:val="0"/>
        <w:adjustRightInd w:val="0"/>
        <w:spacing w:line="320" w:lineRule="exact"/>
        <w:ind w:firstLine="420" w:firstLineChars="200"/>
        <w:rPr>
          <w:szCs w:val="21"/>
        </w:rPr>
      </w:pPr>
      <w:r>
        <w:rPr>
          <w:szCs w:val="21"/>
        </w:rPr>
        <w:t>本研究在全国24个地区的无污染区域进行土壤取样（见表1）。采样时，除去表层1cm左右的浮土，采集0-20cm深度的洁净土壤2kg。编号后经过风干、磨细、过筛、混匀后于4</w:t>
      </w:r>
      <w:r>
        <w:rPr>
          <w:rFonts w:hAnsi="宋体"/>
          <w:szCs w:val="21"/>
        </w:rPr>
        <w:t>℃</w:t>
      </w:r>
      <w:r>
        <w:rPr>
          <w:szCs w:val="21"/>
        </w:rPr>
        <w:t>冷藏备用。</w:t>
      </w:r>
    </w:p>
    <w:p>
      <w:pPr>
        <w:spacing w:beforeLines="50" w:afterLines="50" w:line="320" w:lineRule="exact"/>
        <w:jc w:val="center"/>
        <w:rPr>
          <w:sz w:val="18"/>
          <w:szCs w:val="18"/>
        </w:rPr>
      </w:pPr>
      <w:r>
        <w:rPr>
          <w:sz w:val="18"/>
          <w:szCs w:val="18"/>
        </w:rPr>
        <w:t>表1 土壤采样区域与土壤质地</w:t>
      </w:r>
    </w:p>
    <w:tbl>
      <w:tblPr>
        <w:tblStyle w:val="39"/>
        <w:tblW w:w="8371" w:type="dxa"/>
        <w:jc w:val="center"/>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
      <w:tblGrid>
        <w:gridCol w:w="1920"/>
        <w:gridCol w:w="2387"/>
        <w:gridCol w:w="2028"/>
        <w:gridCol w:w="2036"/>
      </w:tblGrid>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vMerge w:val="restart"/>
            <w:tcBorders>
              <w:top w:val="single" w:color="31849B" w:sz="12" w:space="0"/>
              <w:bottom w:val="single" w:color="31849B" w:sz="12" w:space="0"/>
            </w:tcBorders>
            <w:vAlign w:val="center"/>
          </w:tcPr>
          <w:p>
            <w:pPr>
              <w:jc w:val="center"/>
              <w:rPr>
                <w:b/>
                <w:bCs/>
                <w:sz w:val="18"/>
                <w:szCs w:val="18"/>
              </w:rPr>
            </w:pPr>
            <w:r>
              <w:rPr>
                <w:b/>
                <w:bCs/>
                <w:sz w:val="18"/>
                <w:szCs w:val="18"/>
              </w:rPr>
              <w:t>序号</w:t>
            </w:r>
          </w:p>
        </w:tc>
        <w:tc>
          <w:tcPr>
            <w:tcW w:w="2387" w:type="dxa"/>
            <w:vMerge w:val="restart"/>
            <w:tcBorders>
              <w:top w:val="single" w:color="31849B" w:sz="12" w:space="0"/>
              <w:bottom w:val="single" w:color="31849B" w:sz="12" w:space="0"/>
            </w:tcBorders>
            <w:vAlign w:val="center"/>
          </w:tcPr>
          <w:p>
            <w:pPr>
              <w:jc w:val="center"/>
              <w:rPr>
                <w:b/>
                <w:bCs/>
                <w:sz w:val="18"/>
                <w:szCs w:val="18"/>
              </w:rPr>
            </w:pPr>
            <w:r>
              <w:rPr>
                <w:b/>
                <w:bCs/>
                <w:sz w:val="18"/>
                <w:szCs w:val="18"/>
              </w:rPr>
              <w:t>土壤类型</w:t>
            </w:r>
          </w:p>
        </w:tc>
        <w:tc>
          <w:tcPr>
            <w:tcW w:w="4064" w:type="dxa"/>
            <w:gridSpan w:val="2"/>
            <w:tcBorders>
              <w:top w:val="single" w:color="31849B" w:sz="12" w:space="0"/>
            </w:tcBorders>
            <w:vAlign w:val="center"/>
          </w:tcPr>
          <w:p>
            <w:pPr>
              <w:jc w:val="center"/>
              <w:rPr>
                <w:b/>
                <w:bCs/>
                <w:sz w:val="18"/>
                <w:szCs w:val="18"/>
              </w:rPr>
            </w:pPr>
            <w:r>
              <w:rPr>
                <w:b/>
                <w:bCs/>
                <w:sz w:val="18"/>
                <w:szCs w:val="18"/>
              </w:rPr>
              <w:t>经纬度</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vMerge w:val="continue"/>
            <w:tcBorders>
              <w:bottom w:val="single" w:color="31849B" w:sz="12" w:space="0"/>
            </w:tcBorders>
            <w:vAlign w:val="center"/>
          </w:tcPr>
          <w:p>
            <w:pPr>
              <w:jc w:val="center"/>
              <w:rPr>
                <w:b/>
                <w:bCs/>
                <w:sz w:val="18"/>
                <w:szCs w:val="18"/>
              </w:rPr>
            </w:pPr>
          </w:p>
        </w:tc>
        <w:tc>
          <w:tcPr>
            <w:tcW w:w="2387" w:type="dxa"/>
            <w:vMerge w:val="continue"/>
            <w:tcBorders>
              <w:bottom w:val="single" w:color="31849B" w:sz="12" w:space="0"/>
            </w:tcBorders>
            <w:vAlign w:val="center"/>
          </w:tcPr>
          <w:p>
            <w:pPr>
              <w:jc w:val="center"/>
              <w:rPr>
                <w:b/>
                <w:bCs/>
                <w:sz w:val="18"/>
                <w:szCs w:val="18"/>
              </w:rPr>
            </w:pPr>
          </w:p>
        </w:tc>
        <w:tc>
          <w:tcPr>
            <w:tcW w:w="2028" w:type="dxa"/>
            <w:tcBorders>
              <w:bottom w:val="single" w:color="31849B" w:sz="12" w:space="0"/>
            </w:tcBorders>
            <w:vAlign w:val="center"/>
          </w:tcPr>
          <w:p>
            <w:pPr>
              <w:jc w:val="center"/>
              <w:rPr>
                <w:b/>
                <w:bCs/>
                <w:sz w:val="18"/>
                <w:szCs w:val="18"/>
              </w:rPr>
            </w:pPr>
            <w:r>
              <w:rPr>
                <w:b/>
                <w:bCs/>
                <w:sz w:val="18"/>
                <w:szCs w:val="18"/>
              </w:rPr>
              <w:t>纬度</w:t>
            </w:r>
          </w:p>
        </w:tc>
        <w:tc>
          <w:tcPr>
            <w:tcW w:w="2036" w:type="dxa"/>
            <w:tcBorders>
              <w:bottom w:val="single" w:color="31849B" w:sz="12" w:space="0"/>
            </w:tcBorders>
            <w:vAlign w:val="center"/>
          </w:tcPr>
          <w:p>
            <w:pPr>
              <w:jc w:val="center"/>
              <w:rPr>
                <w:b/>
                <w:bCs/>
                <w:sz w:val="18"/>
                <w:szCs w:val="18"/>
              </w:rPr>
            </w:pPr>
            <w:r>
              <w:rPr>
                <w:b/>
                <w:bCs/>
                <w:sz w:val="18"/>
                <w:szCs w:val="18"/>
              </w:rPr>
              <w:t>经度</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single" w:color="31849B" w:sz="12" w:space="0"/>
              <w:bottom w:val="nil"/>
            </w:tcBorders>
            <w:shd w:val="clear" w:color="auto" w:fill="B6DDE8"/>
            <w:vAlign w:val="center"/>
          </w:tcPr>
          <w:p>
            <w:pPr>
              <w:jc w:val="center"/>
              <w:rPr>
                <w:sz w:val="18"/>
                <w:szCs w:val="18"/>
              </w:rPr>
            </w:pPr>
            <w:r>
              <w:rPr>
                <w:sz w:val="18"/>
                <w:szCs w:val="18"/>
              </w:rPr>
              <w:t>S1</w:t>
            </w:r>
          </w:p>
        </w:tc>
        <w:tc>
          <w:tcPr>
            <w:tcW w:w="2387" w:type="dxa"/>
            <w:tcBorders>
              <w:top w:val="single" w:color="31849B" w:sz="12" w:space="0"/>
              <w:bottom w:val="nil"/>
            </w:tcBorders>
            <w:shd w:val="clear" w:color="auto" w:fill="B6DDE8"/>
            <w:vAlign w:val="center"/>
          </w:tcPr>
          <w:p>
            <w:pPr>
              <w:jc w:val="center"/>
              <w:rPr>
                <w:sz w:val="18"/>
                <w:szCs w:val="18"/>
              </w:rPr>
            </w:pPr>
            <w:r>
              <w:rPr>
                <w:sz w:val="18"/>
                <w:szCs w:val="18"/>
              </w:rPr>
              <w:t>黑龙江哈尔滨</w:t>
            </w:r>
          </w:p>
        </w:tc>
        <w:tc>
          <w:tcPr>
            <w:tcW w:w="2028" w:type="dxa"/>
            <w:tcBorders>
              <w:top w:val="single" w:color="31849B" w:sz="12" w:space="0"/>
              <w:bottom w:val="nil"/>
            </w:tcBorders>
            <w:shd w:val="clear" w:color="auto" w:fill="B6DDE8"/>
            <w:vAlign w:val="center"/>
          </w:tcPr>
          <w:p>
            <w:pPr>
              <w:jc w:val="center"/>
              <w:rPr>
                <w:sz w:val="18"/>
                <w:szCs w:val="18"/>
              </w:rPr>
            </w:pPr>
            <w:r>
              <w:rPr>
                <w:sz w:val="18"/>
                <w:szCs w:val="18"/>
              </w:rPr>
              <w:t>45.7656°</w:t>
            </w:r>
          </w:p>
        </w:tc>
        <w:tc>
          <w:tcPr>
            <w:tcW w:w="2036" w:type="dxa"/>
            <w:tcBorders>
              <w:top w:val="single" w:color="31849B" w:sz="12" w:space="0"/>
              <w:bottom w:val="nil"/>
            </w:tcBorders>
            <w:shd w:val="clear" w:color="auto" w:fill="B6DDE8"/>
            <w:vAlign w:val="center"/>
          </w:tcPr>
          <w:p>
            <w:pPr>
              <w:jc w:val="center"/>
              <w:rPr>
                <w:sz w:val="18"/>
                <w:szCs w:val="18"/>
              </w:rPr>
            </w:pPr>
            <w:r>
              <w:rPr>
                <w:sz w:val="18"/>
                <w:szCs w:val="18"/>
              </w:rPr>
              <w:t>126.6450°</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S2</w:t>
            </w:r>
          </w:p>
        </w:tc>
        <w:tc>
          <w:tcPr>
            <w:tcW w:w="2387" w:type="dxa"/>
            <w:tcBorders>
              <w:top w:val="nil"/>
              <w:bottom w:val="nil"/>
            </w:tcBorders>
            <w:vAlign w:val="center"/>
          </w:tcPr>
          <w:p>
            <w:pPr>
              <w:jc w:val="center"/>
              <w:rPr>
                <w:sz w:val="18"/>
                <w:szCs w:val="18"/>
              </w:rPr>
            </w:pPr>
            <w:r>
              <w:rPr>
                <w:sz w:val="18"/>
                <w:szCs w:val="18"/>
              </w:rPr>
              <w:t>内蒙古集宁</w:t>
            </w:r>
          </w:p>
        </w:tc>
        <w:tc>
          <w:tcPr>
            <w:tcW w:w="2028" w:type="dxa"/>
            <w:tcBorders>
              <w:top w:val="nil"/>
              <w:bottom w:val="nil"/>
            </w:tcBorders>
            <w:vAlign w:val="center"/>
          </w:tcPr>
          <w:p>
            <w:pPr>
              <w:jc w:val="center"/>
              <w:rPr>
                <w:sz w:val="18"/>
                <w:szCs w:val="18"/>
              </w:rPr>
            </w:pPr>
            <w:r>
              <w:rPr>
                <w:sz w:val="18"/>
                <w:szCs w:val="18"/>
              </w:rPr>
              <w:t>41.0200°</w:t>
            </w:r>
          </w:p>
        </w:tc>
        <w:tc>
          <w:tcPr>
            <w:tcW w:w="2036" w:type="dxa"/>
            <w:tcBorders>
              <w:top w:val="nil"/>
              <w:bottom w:val="nil"/>
            </w:tcBorders>
            <w:vAlign w:val="center"/>
          </w:tcPr>
          <w:p>
            <w:pPr>
              <w:jc w:val="center"/>
              <w:rPr>
                <w:sz w:val="18"/>
                <w:szCs w:val="18"/>
              </w:rPr>
            </w:pPr>
            <w:r>
              <w:rPr>
                <w:sz w:val="18"/>
                <w:szCs w:val="18"/>
              </w:rPr>
              <w:t>113.0989°</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S3</w:t>
            </w:r>
          </w:p>
        </w:tc>
        <w:tc>
          <w:tcPr>
            <w:tcW w:w="2387" w:type="dxa"/>
            <w:tcBorders>
              <w:top w:val="nil"/>
              <w:bottom w:val="nil"/>
            </w:tcBorders>
            <w:shd w:val="clear" w:color="auto" w:fill="B6DDE8"/>
            <w:vAlign w:val="center"/>
          </w:tcPr>
          <w:p>
            <w:pPr>
              <w:jc w:val="center"/>
              <w:rPr>
                <w:sz w:val="18"/>
                <w:szCs w:val="18"/>
              </w:rPr>
            </w:pPr>
            <w:r>
              <w:rPr>
                <w:sz w:val="18"/>
                <w:szCs w:val="18"/>
              </w:rPr>
              <w:t>北京</w:t>
            </w:r>
          </w:p>
        </w:tc>
        <w:tc>
          <w:tcPr>
            <w:tcW w:w="2028" w:type="dxa"/>
            <w:tcBorders>
              <w:top w:val="nil"/>
              <w:bottom w:val="nil"/>
            </w:tcBorders>
            <w:shd w:val="clear" w:color="auto" w:fill="B6DDE8"/>
            <w:vAlign w:val="center"/>
          </w:tcPr>
          <w:p>
            <w:pPr>
              <w:jc w:val="center"/>
              <w:rPr>
                <w:sz w:val="18"/>
                <w:szCs w:val="18"/>
              </w:rPr>
            </w:pPr>
            <w:r>
              <w:rPr>
                <w:sz w:val="18"/>
                <w:szCs w:val="18"/>
              </w:rPr>
              <w:t>39.9069°</w:t>
            </w:r>
          </w:p>
        </w:tc>
        <w:tc>
          <w:tcPr>
            <w:tcW w:w="2036" w:type="dxa"/>
            <w:tcBorders>
              <w:top w:val="nil"/>
              <w:bottom w:val="nil"/>
            </w:tcBorders>
            <w:shd w:val="clear" w:color="auto" w:fill="B6DDE8"/>
            <w:vAlign w:val="center"/>
          </w:tcPr>
          <w:p>
            <w:pPr>
              <w:jc w:val="center"/>
              <w:rPr>
                <w:sz w:val="18"/>
                <w:szCs w:val="18"/>
              </w:rPr>
            </w:pPr>
            <w:r>
              <w:rPr>
                <w:sz w:val="18"/>
                <w:szCs w:val="18"/>
              </w:rPr>
              <w:t>116.3911°</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S4</w:t>
            </w:r>
          </w:p>
        </w:tc>
        <w:tc>
          <w:tcPr>
            <w:tcW w:w="2387" w:type="dxa"/>
            <w:tcBorders>
              <w:top w:val="nil"/>
              <w:bottom w:val="nil"/>
            </w:tcBorders>
            <w:vAlign w:val="center"/>
          </w:tcPr>
          <w:p>
            <w:pPr>
              <w:jc w:val="center"/>
              <w:rPr>
                <w:sz w:val="18"/>
                <w:szCs w:val="18"/>
              </w:rPr>
            </w:pPr>
            <w:r>
              <w:rPr>
                <w:sz w:val="18"/>
                <w:szCs w:val="18"/>
              </w:rPr>
              <w:t>辽宁大连</w:t>
            </w:r>
          </w:p>
        </w:tc>
        <w:tc>
          <w:tcPr>
            <w:tcW w:w="2028" w:type="dxa"/>
            <w:tcBorders>
              <w:top w:val="nil"/>
              <w:bottom w:val="nil"/>
            </w:tcBorders>
            <w:vAlign w:val="center"/>
          </w:tcPr>
          <w:p>
            <w:pPr>
              <w:jc w:val="center"/>
              <w:rPr>
                <w:sz w:val="18"/>
                <w:szCs w:val="18"/>
              </w:rPr>
            </w:pPr>
            <w:r>
              <w:rPr>
                <w:sz w:val="18"/>
                <w:szCs w:val="18"/>
              </w:rPr>
              <w:t>38.9417°</w:t>
            </w:r>
          </w:p>
        </w:tc>
        <w:tc>
          <w:tcPr>
            <w:tcW w:w="2036" w:type="dxa"/>
            <w:tcBorders>
              <w:top w:val="nil"/>
              <w:bottom w:val="nil"/>
            </w:tcBorders>
            <w:vAlign w:val="center"/>
          </w:tcPr>
          <w:p>
            <w:pPr>
              <w:jc w:val="center"/>
              <w:rPr>
                <w:sz w:val="18"/>
                <w:szCs w:val="18"/>
              </w:rPr>
            </w:pPr>
            <w:r>
              <w:rPr>
                <w:sz w:val="18"/>
                <w:szCs w:val="18"/>
              </w:rPr>
              <w:t>121.5819°</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S5</w:t>
            </w:r>
          </w:p>
        </w:tc>
        <w:tc>
          <w:tcPr>
            <w:tcW w:w="2387" w:type="dxa"/>
            <w:tcBorders>
              <w:top w:val="nil"/>
              <w:bottom w:val="nil"/>
            </w:tcBorders>
            <w:shd w:val="clear" w:color="auto" w:fill="B6DDE8"/>
            <w:vAlign w:val="center"/>
          </w:tcPr>
          <w:p>
            <w:pPr>
              <w:jc w:val="center"/>
              <w:rPr>
                <w:sz w:val="18"/>
                <w:szCs w:val="18"/>
              </w:rPr>
            </w:pPr>
            <w:r>
              <w:rPr>
                <w:sz w:val="18"/>
                <w:szCs w:val="18"/>
              </w:rPr>
              <w:t>河北石家庄</w:t>
            </w:r>
          </w:p>
        </w:tc>
        <w:tc>
          <w:tcPr>
            <w:tcW w:w="2028" w:type="dxa"/>
            <w:tcBorders>
              <w:top w:val="nil"/>
              <w:bottom w:val="nil"/>
            </w:tcBorders>
            <w:shd w:val="clear" w:color="auto" w:fill="B6DDE8"/>
            <w:vAlign w:val="center"/>
          </w:tcPr>
          <w:p>
            <w:pPr>
              <w:jc w:val="center"/>
              <w:rPr>
                <w:sz w:val="18"/>
                <w:szCs w:val="18"/>
              </w:rPr>
            </w:pPr>
            <w:r>
              <w:rPr>
                <w:sz w:val="18"/>
                <w:szCs w:val="18"/>
              </w:rPr>
              <w:t>38.0422°</w:t>
            </w:r>
          </w:p>
        </w:tc>
        <w:tc>
          <w:tcPr>
            <w:tcW w:w="2036" w:type="dxa"/>
            <w:tcBorders>
              <w:top w:val="nil"/>
              <w:bottom w:val="nil"/>
            </w:tcBorders>
            <w:shd w:val="clear" w:color="auto" w:fill="B6DDE8"/>
            <w:vAlign w:val="center"/>
          </w:tcPr>
          <w:p>
            <w:pPr>
              <w:jc w:val="center"/>
              <w:rPr>
                <w:sz w:val="18"/>
                <w:szCs w:val="18"/>
              </w:rPr>
            </w:pPr>
            <w:r>
              <w:rPr>
                <w:sz w:val="18"/>
                <w:szCs w:val="18"/>
              </w:rPr>
              <w:t>114.5094°</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S6</w:t>
            </w:r>
          </w:p>
        </w:tc>
        <w:tc>
          <w:tcPr>
            <w:tcW w:w="2387" w:type="dxa"/>
            <w:tcBorders>
              <w:top w:val="nil"/>
              <w:bottom w:val="nil"/>
            </w:tcBorders>
            <w:vAlign w:val="center"/>
          </w:tcPr>
          <w:p>
            <w:pPr>
              <w:jc w:val="center"/>
              <w:rPr>
                <w:sz w:val="18"/>
                <w:szCs w:val="18"/>
              </w:rPr>
            </w:pPr>
            <w:r>
              <w:rPr>
                <w:sz w:val="18"/>
                <w:szCs w:val="18"/>
              </w:rPr>
              <w:t>河北衡水</w:t>
            </w:r>
          </w:p>
        </w:tc>
        <w:tc>
          <w:tcPr>
            <w:tcW w:w="2028" w:type="dxa"/>
            <w:tcBorders>
              <w:top w:val="nil"/>
              <w:bottom w:val="nil"/>
            </w:tcBorders>
            <w:vAlign w:val="center"/>
          </w:tcPr>
          <w:p>
            <w:pPr>
              <w:jc w:val="center"/>
              <w:rPr>
                <w:sz w:val="18"/>
                <w:szCs w:val="18"/>
              </w:rPr>
            </w:pPr>
            <w:r>
              <w:rPr>
                <w:sz w:val="18"/>
                <w:szCs w:val="18"/>
              </w:rPr>
              <w:t>37.9323°</w:t>
            </w:r>
          </w:p>
        </w:tc>
        <w:tc>
          <w:tcPr>
            <w:tcW w:w="2036" w:type="dxa"/>
            <w:tcBorders>
              <w:top w:val="nil"/>
              <w:bottom w:val="nil"/>
            </w:tcBorders>
            <w:vAlign w:val="center"/>
          </w:tcPr>
          <w:p>
            <w:pPr>
              <w:jc w:val="center"/>
              <w:rPr>
                <w:sz w:val="18"/>
                <w:szCs w:val="18"/>
              </w:rPr>
            </w:pPr>
            <w:r>
              <w:rPr>
                <w:sz w:val="18"/>
                <w:szCs w:val="18"/>
              </w:rPr>
              <w:t>115.7167°</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S7</w:t>
            </w:r>
          </w:p>
        </w:tc>
        <w:tc>
          <w:tcPr>
            <w:tcW w:w="2387" w:type="dxa"/>
            <w:tcBorders>
              <w:top w:val="nil"/>
              <w:bottom w:val="nil"/>
            </w:tcBorders>
            <w:shd w:val="clear" w:color="auto" w:fill="B6DDE8"/>
            <w:vAlign w:val="center"/>
          </w:tcPr>
          <w:p>
            <w:pPr>
              <w:jc w:val="center"/>
              <w:rPr>
                <w:sz w:val="18"/>
                <w:szCs w:val="18"/>
              </w:rPr>
            </w:pPr>
            <w:r>
              <w:rPr>
                <w:sz w:val="18"/>
                <w:szCs w:val="18"/>
              </w:rPr>
              <w:t>山西太原</w:t>
            </w:r>
          </w:p>
        </w:tc>
        <w:tc>
          <w:tcPr>
            <w:tcW w:w="2028" w:type="dxa"/>
            <w:tcBorders>
              <w:top w:val="nil"/>
              <w:bottom w:val="nil"/>
            </w:tcBorders>
            <w:shd w:val="clear" w:color="auto" w:fill="B6DDE8"/>
            <w:vAlign w:val="center"/>
          </w:tcPr>
          <w:p>
            <w:pPr>
              <w:jc w:val="center"/>
              <w:rPr>
                <w:sz w:val="18"/>
                <w:szCs w:val="18"/>
              </w:rPr>
            </w:pPr>
            <w:r>
              <w:rPr>
                <w:sz w:val="18"/>
                <w:szCs w:val="18"/>
              </w:rPr>
              <w:t>37.8833°</w:t>
            </w:r>
          </w:p>
        </w:tc>
        <w:tc>
          <w:tcPr>
            <w:tcW w:w="2036" w:type="dxa"/>
            <w:tcBorders>
              <w:top w:val="nil"/>
              <w:bottom w:val="nil"/>
            </w:tcBorders>
            <w:shd w:val="clear" w:color="auto" w:fill="B6DDE8"/>
            <w:vAlign w:val="center"/>
          </w:tcPr>
          <w:p>
            <w:pPr>
              <w:jc w:val="center"/>
              <w:rPr>
                <w:sz w:val="18"/>
                <w:szCs w:val="18"/>
              </w:rPr>
            </w:pPr>
            <w:r>
              <w:rPr>
                <w:sz w:val="18"/>
                <w:szCs w:val="18"/>
              </w:rPr>
              <w:t>112.5381°</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S8</w:t>
            </w:r>
          </w:p>
        </w:tc>
        <w:tc>
          <w:tcPr>
            <w:tcW w:w="2387" w:type="dxa"/>
            <w:tcBorders>
              <w:top w:val="nil"/>
              <w:bottom w:val="nil"/>
            </w:tcBorders>
            <w:vAlign w:val="center"/>
          </w:tcPr>
          <w:p>
            <w:pPr>
              <w:jc w:val="center"/>
              <w:rPr>
                <w:sz w:val="18"/>
                <w:szCs w:val="18"/>
              </w:rPr>
            </w:pPr>
            <w:r>
              <w:rPr>
                <w:sz w:val="18"/>
                <w:szCs w:val="18"/>
              </w:rPr>
              <w:t>山东济南</w:t>
            </w:r>
          </w:p>
        </w:tc>
        <w:tc>
          <w:tcPr>
            <w:tcW w:w="2028" w:type="dxa"/>
            <w:tcBorders>
              <w:top w:val="nil"/>
              <w:bottom w:val="nil"/>
            </w:tcBorders>
            <w:vAlign w:val="center"/>
          </w:tcPr>
          <w:p>
            <w:pPr>
              <w:jc w:val="center"/>
              <w:rPr>
                <w:sz w:val="18"/>
                <w:szCs w:val="18"/>
              </w:rPr>
            </w:pPr>
            <w:r>
              <w:rPr>
                <w:sz w:val="18"/>
                <w:szCs w:val="18"/>
              </w:rPr>
              <w:t>36.6761°</w:t>
            </w:r>
          </w:p>
        </w:tc>
        <w:tc>
          <w:tcPr>
            <w:tcW w:w="2036" w:type="dxa"/>
            <w:tcBorders>
              <w:top w:val="nil"/>
              <w:bottom w:val="nil"/>
            </w:tcBorders>
            <w:vAlign w:val="center"/>
          </w:tcPr>
          <w:p>
            <w:pPr>
              <w:jc w:val="center"/>
              <w:rPr>
                <w:sz w:val="18"/>
                <w:szCs w:val="18"/>
              </w:rPr>
            </w:pPr>
            <w:r>
              <w:rPr>
                <w:sz w:val="18"/>
                <w:szCs w:val="18"/>
              </w:rPr>
              <w:t>117.0125°</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S9</w:t>
            </w:r>
          </w:p>
        </w:tc>
        <w:tc>
          <w:tcPr>
            <w:tcW w:w="2387" w:type="dxa"/>
            <w:tcBorders>
              <w:top w:val="nil"/>
              <w:bottom w:val="nil"/>
            </w:tcBorders>
            <w:shd w:val="clear" w:color="auto" w:fill="B6DDE8"/>
            <w:vAlign w:val="center"/>
          </w:tcPr>
          <w:p>
            <w:pPr>
              <w:jc w:val="center"/>
              <w:rPr>
                <w:sz w:val="18"/>
                <w:szCs w:val="18"/>
              </w:rPr>
            </w:pPr>
            <w:r>
              <w:rPr>
                <w:sz w:val="18"/>
                <w:szCs w:val="18"/>
              </w:rPr>
              <w:t>甘肃兰州</w:t>
            </w:r>
          </w:p>
        </w:tc>
        <w:tc>
          <w:tcPr>
            <w:tcW w:w="2028" w:type="dxa"/>
            <w:tcBorders>
              <w:top w:val="nil"/>
              <w:bottom w:val="nil"/>
            </w:tcBorders>
            <w:shd w:val="clear" w:color="auto" w:fill="B6DDE8"/>
            <w:vAlign w:val="center"/>
          </w:tcPr>
          <w:p>
            <w:pPr>
              <w:jc w:val="center"/>
              <w:rPr>
                <w:sz w:val="18"/>
                <w:szCs w:val="18"/>
              </w:rPr>
            </w:pPr>
            <w:r>
              <w:rPr>
                <w:sz w:val="18"/>
                <w:szCs w:val="18"/>
              </w:rPr>
              <w:t>36.0581°</w:t>
            </w:r>
          </w:p>
        </w:tc>
        <w:tc>
          <w:tcPr>
            <w:tcW w:w="2036" w:type="dxa"/>
            <w:tcBorders>
              <w:top w:val="nil"/>
              <w:bottom w:val="nil"/>
            </w:tcBorders>
            <w:shd w:val="clear" w:color="auto" w:fill="B6DDE8"/>
            <w:vAlign w:val="center"/>
          </w:tcPr>
          <w:p>
            <w:pPr>
              <w:jc w:val="center"/>
              <w:rPr>
                <w:sz w:val="18"/>
                <w:szCs w:val="18"/>
              </w:rPr>
            </w:pPr>
            <w:r>
              <w:rPr>
                <w:sz w:val="18"/>
                <w:szCs w:val="18"/>
              </w:rPr>
              <w:t>103.8142°</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S10</w:t>
            </w:r>
          </w:p>
        </w:tc>
        <w:tc>
          <w:tcPr>
            <w:tcW w:w="2387" w:type="dxa"/>
            <w:tcBorders>
              <w:top w:val="nil"/>
              <w:bottom w:val="nil"/>
            </w:tcBorders>
            <w:vAlign w:val="center"/>
          </w:tcPr>
          <w:p>
            <w:pPr>
              <w:jc w:val="center"/>
              <w:rPr>
                <w:sz w:val="18"/>
                <w:szCs w:val="18"/>
              </w:rPr>
            </w:pPr>
            <w:r>
              <w:rPr>
                <w:sz w:val="18"/>
                <w:szCs w:val="18"/>
              </w:rPr>
              <w:t>河南郑州</w:t>
            </w:r>
          </w:p>
        </w:tc>
        <w:tc>
          <w:tcPr>
            <w:tcW w:w="2028" w:type="dxa"/>
            <w:tcBorders>
              <w:top w:val="nil"/>
              <w:bottom w:val="nil"/>
            </w:tcBorders>
            <w:vAlign w:val="center"/>
          </w:tcPr>
          <w:p>
            <w:pPr>
              <w:jc w:val="center"/>
              <w:rPr>
                <w:sz w:val="18"/>
                <w:szCs w:val="18"/>
              </w:rPr>
            </w:pPr>
            <w:r>
              <w:rPr>
                <w:sz w:val="18"/>
                <w:szCs w:val="18"/>
              </w:rPr>
              <w:t>34.7514°</w:t>
            </w:r>
          </w:p>
        </w:tc>
        <w:tc>
          <w:tcPr>
            <w:tcW w:w="2036" w:type="dxa"/>
            <w:tcBorders>
              <w:top w:val="nil"/>
              <w:bottom w:val="nil"/>
            </w:tcBorders>
            <w:vAlign w:val="center"/>
          </w:tcPr>
          <w:p>
            <w:pPr>
              <w:jc w:val="center"/>
              <w:rPr>
                <w:sz w:val="18"/>
                <w:szCs w:val="18"/>
              </w:rPr>
            </w:pPr>
            <w:r>
              <w:rPr>
                <w:sz w:val="18"/>
                <w:szCs w:val="18"/>
              </w:rPr>
              <w:t>113.6369°</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S11</w:t>
            </w:r>
          </w:p>
        </w:tc>
        <w:tc>
          <w:tcPr>
            <w:tcW w:w="2387" w:type="dxa"/>
            <w:tcBorders>
              <w:top w:val="nil"/>
              <w:bottom w:val="nil"/>
            </w:tcBorders>
            <w:shd w:val="clear" w:color="auto" w:fill="B6DDE8"/>
            <w:vAlign w:val="center"/>
          </w:tcPr>
          <w:p>
            <w:pPr>
              <w:jc w:val="center"/>
              <w:rPr>
                <w:sz w:val="18"/>
                <w:szCs w:val="18"/>
              </w:rPr>
            </w:pPr>
            <w:r>
              <w:rPr>
                <w:sz w:val="18"/>
                <w:szCs w:val="18"/>
              </w:rPr>
              <w:t>陕西西安</w:t>
            </w:r>
          </w:p>
        </w:tc>
        <w:tc>
          <w:tcPr>
            <w:tcW w:w="2028" w:type="dxa"/>
            <w:tcBorders>
              <w:top w:val="nil"/>
              <w:bottom w:val="nil"/>
            </w:tcBorders>
            <w:shd w:val="clear" w:color="auto" w:fill="B6DDE8"/>
            <w:vAlign w:val="center"/>
          </w:tcPr>
          <w:p>
            <w:pPr>
              <w:jc w:val="center"/>
              <w:rPr>
                <w:sz w:val="18"/>
                <w:szCs w:val="18"/>
              </w:rPr>
            </w:pPr>
            <w:r>
              <w:rPr>
                <w:sz w:val="18"/>
                <w:szCs w:val="18"/>
              </w:rPr>
              <w:t>34.2731°</w:t>
            </w:r>
          </w:p>
        </w:tc>
        <w:tc>
          <w:tcPr>
            <w:tcW w:w="2036" w:type="dxa"/>
            <w:tcBorders>
              <w:top w:val="nil"/>
              <w:bottom w:val="nil"/>
            </w:tcBorders>
            <w:shd w:val="clear" w:color="auto" w:fill="B6DDE8"/>
            <w:vAlign w:val="center"/>
          </w:tcPr>
          <w:p>
            <w:pPr>
              <w:jc w:val="center"/>
              <w:rPr>
                <w:sz w:val="18"/>
                <w:szCs w:val="18"/>
              </w:rPr>
            </w:pPr>
            <w:r>
              <w:rPr>
                <w:sz w:val="18"/>
                <w:szCs w:val="18"/>
              </w:rPr>
              <w:t>108.9419°</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S12</w:t>
            </w:r>
          </w:p>
        </w:tc>
        <w:tc>
          <w:tcPr>
            <w:tcW w:w="2387" w:type="dxa"/>
            <w:tcBorders>
              <w:top w:val="nil"/>
              <w:bottom w:val="nil"/>
            </w:tcBorders>
            <w:vAlign w:val="center"/>
          </w:tcPr>
          <w:p>
            <w:pPr>
              <w:jc w:val="center"/>
              <w:rPr>
                <w:sz w:val="18"/>
                <w:szCs w:val="18"/>
              </w:rPr>
            </w:pPr>
            <w:r>
              <w:rPr>
                <w:sz w:val="18"/>
                <w:szCs w:val="18"/>
              </w:rPr>
              <w:t>安徽宿州</w:t>
            </w:r>
          </w:p>
        </w:tc>
        <w:tc>
          <w:tcPr>
            <w:tcW w:w="2028" w:type="dxa"/>
            <w:tcBorders>
              <w:top w:val="nil"/>
              <w:bottom w:val="nil"/>
            </w:tcBorders>
            <w:vAlign w:val="center"/>
          </w:tcPr>
          <w:p>
            <w:pPr>
              <w:jc w:val="center"/>
              <w:rPr>
                <w:sz w:val="18"/>
                <w:szCs w:val="18"/>
              </w:rPr>
            </w:pPr>
            <w:r>
              <w:rPr>
                <w:sz w:val="18"/>
                <w:szCs w:val="18"/>
              </w:rPr>
              <w:t>33.6319°</w:t>
            </w:r>
          </w:p>
        </w:tc>
        <w:tc>
          <w:tcPr>
            <w:tcW w:w="2036" w:type="dxa"/>
            <w:tcBorders>
              <w:top w:val="nil"/>
              <w:bottom w:val="nil"/>
            </w:tcBorders>
            <w:vAlign w:val="center"/>
          </w:tcPr>
          <w:p>
            <w:pPr>
              <w:jc w:val="center"/>
              <w:rPr>
                <w:sz w:val="18"/>
                <w:szCs w:val="18"/>
              </w:rPr>
            </w:pPr>
            <w:r>
              <w:rPr>
                <w:sz w:val="18"/>
                <w:szCs w:val="18"/>
              </w:rPr>
              <w:t>116.9767°</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S13</w:t>
            </w:r>
          </w:p>
        </w:tc>
        <w:tc>
          <w:tcPr>
            <w:tcW w:w="2387" w:type="dxa"/>
            <w:tcBorders>
              <w:top w:val="nil"/>
              <w:bottom w:val="nil"/>
            </w:tcBorders>
            <w:shd w:val="clear" w:color="auto" w:fill="B6DDE8"/>
            <w:vAlign w:val="center"/>
          </w:tcPr>
          <w:p>
            <w:pPr>
              <w:jc w:val="center"/>
              <w:rPr>
                <w:sz w:val="18"/>
                <w:szCs w:val="18"/>
              </w:rPr>
            </w:pPr>
            <w:r>
              <w:rPr>
                <w:sz w:val="18"/>
                <w:szCs w:val="18"/>
              </w:rPr>
              <w:t>江苏南京</w:t>
            </w:r>
          </w:p>
        </w:tc>
        <w:tc>
          <w:tcPr>
            <w:tcW w:w="2028" w:type="dxa"/>
            <w:tcBorders>
              <w:top w:val="nil"/>
              <w:bottom w:val="nil"/>
            </w:tcBorders>
            <w:shd w:val="clear" w:color="auto" w:fill="B6DDE8"/>
            <w:vAlign w:val="center"/>
          </w:tcPr>
          <w:p>
            <w:pPr>
              <w:jc w:val="center"/>
              <w:rPr>
                <w:sz w:val="18"/>
                <w:szCs w:val="18"/>
              </w:rPr>
            </w:pPr>
            <w:r>
              <w:rPr>
                <w:sz w:val="18"/>
                <w:szCs w:val="18"/>
              </w:rPr>
              <w:t>32.0531°</w:t>
            </w:r>
          </w:p>
        </w:tc>
        <w:tc>
          <w:tcPr>
            <w:tcW w:w="2036" w:type="dxa"/>
            <w:tcBorders>
              <w:top w:val="nil"/>
              <w:bottom w:val="nil"/>
            </w:tcBorders>
            <w:shd w:val="clear" w:color="auto" w:fill="B6DDE8"/>
            <w:vAlign w:val="center"/>
          </w:tcPr>
          <w:p>
            <w:pPr>
              <w:jc w:val="center"/>
              <w:rPr>
                <w:sz w:val="18"/>
                <w:szCs w:val="18"/>
              </w:rPr>
            </w:pPr>
            <w:r>
              <w:rPr>
                <w:sz w:val="18"/>
                <w:szCs w:val="18"/>
              </w:rPr>
              <w:t>118.7661°</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S14</w:t>
            </w:r>
          </w:p>
        </w:tc>
        <w:tc>
          <w:tcPr>
            <w:tcW w:w="2387" w:type="dxa"/>
            <w:tcBorders>
              <w:top w:val="nil"/>
              <w:bottom w:val="nil"/>
            </w:tcBorders>
            <w:vAlign w:val="center"/>
          </w:tcPr>
          <w:p>
            <w:pPr>
              <w:jc w:val="center"/>
              <w:rPr>
                <w:sz w:val="18"/>
                <w:szCs w:val="18"/>
              </w:rPr>
            </w:pPr>
            <w:r>
              <w:rPr>
                <w:sz w:val="18"/>
                <w:szCs w:val="18"/>
              </w:rPr>
              <w:t>江苏苏州</w:t>
            </w:r>
          </w:p>
        </w:tc>
        <w:tc>
          <w:tcPr>
            <w:tcW w:w="2028" w:type="dxa"/>
            <w:tcBorders>
              <w:top w:val="nil"/>
              <w:bottom w:val="nil"/>
            </w:tcBorders>
            <w:vAlign w:val="center"/>
          </w:tcPr>
          <w:p>
            <w:pPr>
              <w:jc w:val="center"/>
              <w:rPr>
                <w:sz w:val="18"/>
                <w:szCs w:val="18"/>
              </w:rPr>
            </w:pPr>
            <w:r>
              <w:rPr>
                <w:sz w:val="18"/>
                <w:szCs w:val="18"/>
              </w:rPr>
              <w:t>31.2992°</w:t>
            </w:r>
          </w:p>
        </w:tc>
        <w:tc>
          <w:tcPr>
            <w:tcW w:w="2036" w:type="dxa"/>
            <w:tcBorders>
              <w:top w:val="nil"/>
              <w:bottom w:val="nil"/>
            </w:tcBorders>
            <w:vAlign w:val="center"/>
          </w:tcPr>
          <w:p>
            <w:pPr>
              <w:jc w:val="center"/>
              <w:rPr>
                <w:sz w:val="18"/>
                <w:szCs w:val="18"/>
              </w:rPr>
            </w:pPr>
            <w:r>
              <w:rPr>
                <w:sz w:val="18"/>
                <w:szCs w:val="18"/>
              </w:rPr>
              <w:t>120.5669°</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S15</w:t>
            </w:r>
          </w:p>
        </w:tc>
        <w:tc>
          <w:tcPr>
            <w:tcW w:w="2387" w:type="dxa"/>
            <w:tcBorders>
              <w:top w:val="nil"/>
              <w:bottom w:val="nil"/>
            </w:tcBorders>
            <w:shd w:val="clear" w:color="auto" w:fill="B6DDE8"/>
            <w:vAlign w:val="center"/>
          </w:tcPr>
          <w:p>
            <w:pPr>
              <w:jc w:val="center"/>
              <w:rPr>
                <w:sz w:val="18"/>
                <w:szCs w:val="18"/>
              </w:rPr>
            </w:pPr>
            <w:r>
              <w:rPr>
                <w:sz w:val="18"/>
                <w:szCs w:val="18"/>
              </w:rPr>
              <w:t>湖北赤壁</w:t>
            </w:r>
          </w:p>
        </w:tc>
        <w:tc>
          <w:tcPr>
            <w:tcW w:w="2028" w:type="dxa"/>
            <w:tcBorders>
              <w:top w:val="nil"/>
              <w:bottom w:val="nil"/>
            </w:tcBorders>
            <w:shd w:val="clear" w:color="auto" w:fill="B6DDE8"/>
            <w:vAlign w:val="center"/>
          </w:tcPr>
          <w:p>
            <w:pPr>
              <w:jc w:val="center"/>
              <w:rPr>
                <w:sz w:val="18"/>
                <w:szCs w:val="18"/>
              </w:rPr>
            </w:pPr>
            <w:r>
              <w:rPr>
                <w:sz w:val="18"/>
                <w:szCs w:val="18"/>
              </w:rPr>
              <w:t>29.7389°</w:t>
            </w:r>
          </w:p>
        </w:tc>
        <w:tc>
          <w:tcPr>
            <w:tcW w:w="2036" w:type="dxa"/>
            <w:tcBorders>
              <w:top w:val="nil"/>
              <w:bottom w:val="nil"/>
            </w:tcBorders>
            <w:shd w:val="clear" w:color="auto" w:fill="B6DDE8"/>
            <w:vAlign w:val="center"/>
          </w:tcPr>
          <w:p>
            <w:pPr>
              <w:jc w:val="center"/>
              <w:rPr>
                <w:sz w:val="18"/>
                <w:szCs w:val="18"/>
              </w:rPr>
            </w:pPr>
            <w:r>
              <w:rPr>
                <w:sz w:val="18"/>
                <w:szCs w:val="18"/>
              </w:rPr>
              <w:t>113.8772°</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S16</w:t>
            </w:r>
          </w:p>
        </w:tc>
        <w:tc>
          <w:tcPr>
            <w:tcW w:w="2387" w:type="dxa"/>
            <w:tcBorders>
              <w:top w:val="nil"/>
              <w:bottom w:val="nil"/>
            </w:tcBorders>
            <w:vAlign w:val="center"/>
          </w:tcPr>
          <w:p>
            <w:pPr>
              <w:jc w:val="center"/>
              <w:rPr>
                <w:sz w:val="18"/>
                <w:szCs w:val="18"/>
              </w:rPr>
            </w:pPr>
            <w:r>
              <w:rPr>
                <w:sz w:val="18"/>
                <w:szCs w:val="18"/>
              </w:rPr>
              <w:t>西藏拉萨</w:t>
            </w:r>
          </w:p>
        </w:tc>
        <w:tc>
          <w:tcPr>
            <w:tcW w:w="2028" w:type="dxa"/>
            <w:tcBorders>
              <w:top w:val="nil"/>
              <w:bottom w:val="nil"/>
            </w:tcBorders>
            <w:vAlign w:val="center"/>
          </w:tcPr>
          <w:p>
            <w:pPr>
              <w:jc w:val="center"/>
              <w:rPr>
                <w:sz w:val="18"/>
                <w:szCs w:val="18"/>
              </w:rPr>
            </w:pPr>
            <w:r>
              <w:rPr>
                <w:sz w:val="18"/>
                <w:szCs w:val="18"/>
              </w:rPr>
              <w:t>31.3633°</w:t>
            </w:r>
          </w:p>
        </w:tc>
        <w:tc>
          <w:tcPr>
            <w:tcW w:w="2036" w:type="dxa"/>
            <w:tcBorders>
              <w:top w:val="nil"/>
              <w:bottom w:val="nil"/>
            </w:tcBorders>
            <w:vAlign w:val="center"/>
          </w:tcPr>
          <w:p>
            <w:pPr>
              <w:jc w:val="center"/>
              <w:rPr>
                <w:sz w:val="18"/>
                <w:szCs w:val="18"/>
              </w:rPr>
            </w:pPr>
            <w:r>
              <w:rPr>
                <w:sz w:val="18"/>
                <w:szCs w:val="18"/>
              </w:rPr>
              <w:t>89.12889°</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S17</w:t>
            </w:r>
          </w:p>
        </w:tc>
        <w:tc>
          <w:tcPr>
            <w:tcW w:w="2387" w:type="dxa"/>
            <w:tcBorders>
              <w:top w:val="nil"/>
              <w:bottom w:val="nil"/>
            </w:tcBorders>
            <w:shd w:val="clear" w:color="auto" w:fill="B6DDE8"/>
            <w:vAlign w:val="center"/>
          </w:tcPr>
          <w:p>
            <w:pPr>
              <w:jc w:val="center"/>
              <w:rPr>
                <w:sz w:val="18"/>
                <w:szCs w:val="18"/>
              </w:rPr>
            </w:pPr>
            <w:r>
              <w:rPr>
                <w:sz w:val="18"/>
                <w:szCs w:val="18"/>
              </w:rPr>
              <w:t>浙江台州</w:t>
            </w:r>
          </w:p>
        </w:tc>
        <w:tc>
          <w:tcPr>
            <w:tcW w:w="2028" w:type="dxa"/>
            <w:tcBorders>
              <w:top w:val="nil"/>
              <w:bottom w:val="nil"/>
            </w:tcBorders>
            <w:shd w:val="clear" w:color="auto" w:fill="B6DDE8"/>
            <w:vAlign w:val="center"/>
          </w:tcPr>
          <w:p>
            <w:pPr>
              <w:jc w:val="center"/>
              <w:rPr>
                <w:sz w:val="18"/>
                <w:szCs w:val="18"/>
              </w:rPr>
            </w:pPr>
            <w:r>
              <w:rPr>
                <w:sz w:val="18"/>
                <w:szCs w:val="18"/>
              </w:rPr>
              <w:t>28.6647°</w:t>
            </w:r>
          </w:p>
        </w:tc>
        <w:tc>
          <w:tcPr>
            <w:tcW w:w="2036" w:type="dxa"/>
            <w:tcBorders>
              <w:top w:val="nil"/>
              <w:bottom w:val="nil"/>
            </w:tcBorders>
            <w:shd w:val="clear" w:color="auto" w:fill="B6DDE8"/>
            <w:vAlign w:val="center"/>
          </w:tcPr>
          <w:p>
            <w:pPr>
              <w:jc w:val="center"/>
              <w:rPr>
                <w:sz w:val="18"/>
                <w:szCs w:val="18"/>
              </w:rPr>
            </w:pPr>
            <w:r>
              <w:rPr>
                <w:sz w:val="18"/>
                <w:szCs w:val="18"/>
              </w:rPr>
              <w:t>121.4297°</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S18</w:t>
            </w:r>
          </w:p>
        </w:tc>
        <w:tc>
          <w:tcPr>
            <w:tcW w:w="2387" w:type="dxa"/>
            <w:tcBorders>
              <w:top w:val="nil"/>
              <w:bottom w:val="nil"/>
            </w:tcBorders>
            <w:vAlign w:val="center"/>
          </w:tcPr>
          <w:p>
            <w:pPr>
              <w:jc w:val="center"/>
              <w:rPr>
                <w:sz w:val="18"/>
                <w:szCs w:val="18"/>
              </w:rPr>
            </w:pPr>
            <w:r>
              <w:rPr>
                <w:sz w:val="18"/>
                <w:szCs w:val="18"/>
              </w:rPr>
              <w:t>江西鹰潭</w:t>
            </w:r>
          </w:p>
        </w:tc>
        <w:tc>
          <w:tcPr>
            <w:tcW w:w="2028" w:type="dxa"/>
            <w:tcBorders>
              <w:top w:val="nil"/>
              <w:bottom w:val="nil"/>
            </w:tcBorders>
            <w:vAlign w:val="center"/>
          </w:tcPr>
          <w:p>
            <w:pPr>
              <w:jc w:val="center"/>
              <w:rPr>
                <w:sz w:val="18"/>
                <w:szCs w:val="18"/>
              </w:rPr>
            </w:pPr>
            <w:r>
              <w:rPr>
                <w:sz w:val="18"/>
                <w:szCs w:val="18"/>
              </w:rPr>
              <w:t>28.2383°</w:t>
            </w:r>
          </w:p>
        </w:tc>
        <w:tc>
          <w:tcPr>
            <w:tcW w:w="2036" w:type="dxa"/>
            <w:tcBorders>
              <w:top w:val="nil"/>
              <w:bottom w:val="nil"/>
            </w:tcBorders>
            <w:vAlign w:val="center"/>
          </w:tcPr>
          <w:p>
            <w:pPr>
              <w:jc w:val="center"/>
              <w:rPr>
                <w:sz w:val="18"/>
                <w:szCs w:val="18"/>
              </w:rPr>
            </w:pPr>
            <w:r>
              <w:rPr>
                <w:sz w:val="18"/>
                <w:szCs w:val="18"/>
              </w:rPr>
              <w:t>117.0236°</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S19</w:t>
            </w:r>
          </w:p>
        </w:tc>
        <w:tc>
          <w:tcPr>
            <w:tcW w:w="2387" w:type="dxa"/>
            <w:tcBorders>
              <w:top w:val="nil"/>
              <w:bottom w:val="nil"/>
            </w:tcBorders>
            <w:shd w:val="clear" w:color="auto" w:fill="B6DDE8"/>
            <w:vAlign w:val="center"/>
          </w:tcPr>
          <w:p>
            <w:pPr>
              <w:jc w:val="center"/>
              <w:rPr>
                <w:sz w:val="18"/>
                <w:szCs w:val="18"/>
              </w:rPr>
            </w:pPr>
            <w:r>
              <w:rPr>
                <w:sz w:val="18"/>
                <w:szCs w:val="18"/>
              </w:rPr>
              <w:t>湖南郴州</w:t>
            </w:r>
          </w:p>
        </w:tc>
        <w:tc>
          <w:tcPr>
            <w:tcW w:w="2028" w:type="dxa"/>
            <w:tcBorders>
              <w:top w:val="nil"/>
              <w:bottom w:val="nil"/>
            </w:tcBorders>
            <w:shd w:val="clear" w:color="auto" w:fill="B6DDE8"/>
            <w:vAlign w:val="center"/>
          </w:tcPr>
          <w:p>
            <w:pPr>
              <w:jc w:val="center"/>
              <w:rPr>
                <w:sz w:val="18"/>
                <w:szCs w:val="18"/>
              </w:rPr>
            </w:pPr>
            <w:r>
              <w:rPr>
                <w:sz w:val="18"/>
                <w:szCs w:val="18"/>
              </w:rPr>
              <w:t>25.7786°</w:t>
            </w:r>
          </w:p>
        </w:tc>
        <w:tc>
          <w:tcPr>
            <w:tcW w:w="2036" w:type="dxa"/>
            <w:tcBorders>
              <w:top w:val="nil"/>
              <w:bottom w:val="nil"/>
            </w:tcBorders>
            <w:shd w:val="clear" w:color="auto" w:fill="B6DDE8"/>
            <w:vAlign w:val="center"/>
          </w:tcPr>
          <w:p>
            <w:pPr>
              <w:jc w:val="center"/>
              <w:rPr>
                <w:sz w:val="18"/>
                <w:szCs w:val="18"/>
              </w:rPr>
            </w:pPr>
            <w:r>
              <w:rPr>
                <w:sz w:val="18"/>
                <w:szCs w:val="18"/>
              </w:rPr>
              <w:t>113.0256°</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S20</w:t>
            </w:r>
          </w:p>
        </w:tc>
        <w:tc>
          <w:tcPr>
            <w:tcW w:w="2387" w:type="dxa"/>
            <w:tcBorders>
              <w:top w:val="nil"/>
              <w:bottom w:val="nil"/>
            </w:tcBorders>
            <w:vAlign w:val="center"/>
          </w:tcPr>
          <w:p>
            <w:pPr>
              <w:jc w:val="center"/>
              <w:rPr>
                <w:sz w:val="18"/>
                <w:szCs w:val="18"/>
              </w:rPr>
            </w:pPr>
            <w:r>
              <w:rPr>
                <w:sz w:val="18"/>
                <w:szCs w:val="18"/>
              </w:rPr>
              <w:t>福建厦门</w:t>
            </w:r>
          </w:p>
        </w:tc>
        <w:tc>
          <w:tcPr>
            <w:tcW w:w="2028" w:type="dxa"/>
            <w:tcBorders>
              <w:top w:val="nil"/>
              <w:bottom w:val="nil"/>
            </w:tcBorders>
            <w:vAlign w:val="center"/>
          </w:tcPr>
          <w:p>
            <w:pPr>
              <w:jc w:val="center"/>
              <w:rPr>
                <w:sz w:val="18"/>
                <w:szCs w:val="18"/>
              </w:rPr>
            </w:pPr>
            <w:r>
              <w:rPr>
                <w:sz w:val="18"/>
                <w:szCs w:val="18"/>
              </w:rPr>
              <w:t>24.4856°</w:t>
            </w:r>
          </w:p>
        </w:tc>
        <w:tc>
          <w:tcPr>
            <w:tcW w:w="2036" w:type="dxa"/>
            <w:tcBorders>
              <w:top w:val="nil"/>
              <w:bottom w:val="nil"/>
            </w:tcBorders>
            <w:vAlign w:val="center"/>
          </w:tcPr>
          <w:p>
            <w:pPr>
              <w:jc w:val="center"/>
              <w:rPr>
                <w:sz w:val="18"/>
                <w:szCs w:val="18"/>
              </w:rPr>
            </w:pPr>
            <w:r>
              <w:rPr>
                <w:sz w:val="18"/>
                <w:szCs w:val="18"/>
              </w:rPr>
              <w:t>118.0922°</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S21</w:t>
            </w:r>
          </w:p>
        </w:tc>
        <w:tc>
          <w:tcPr>
            <w:tcW w:w="2387" w:type="dxa"/>
            <w:tcBorders>
              <w:top w:val="nil"/>
              <w:bottom w:val="nil"/>
            </w:tcBorders>
            <w:shd w:val="clear" w:color="auto" w:fill="B6DDE8"/>
            <w:vAlign w:val="center"/>
          </w:tcPr>
          <w:p>
            <w:pPr>
              <w:jc w:val="center"/>
              <w:rPr>
                <w:sz w:val="18"/>
                <w:szCs w:val="18"/>
              </w:rPr>
            </w:pPr>
            <w:r>
              <w:rPr>
                <w:sz w:val="18"/>
                <w:szCs w:val="18"/>
              </w:rPr>
              <w:t>广东梅州</w:t>
            </w:r>
          </w:p>
        </w:tc>
        <w:tc>
          <w:tcPr>
            <w:tcW w:w="2028" w:type="dxa"/>
            <w:tcBorders>
              <w:top w:val="nil"/>
              <w:bottom w:val="nil"/>
            </w:tcBorders>
            <w:shd w:val="clear" w:color="auto" w:fill="B6DDE8"/>
            <w:vAlign w:val="center"/>
          </w:tcPr>
          <w:p>
            <w:pPr>
              <w:jc w:val="center"/>
              <w:rPr>
                <w:sz w:val="18"/>
                <w:szCs w:val="18"/>
              </w:rPr>
            </w:pPr>
            <w:r>
              <w:rPr>
                <w:sz w:val="18"/>
                <w:szCs w:val="18"/>
              </w:rPr>
              <w:t>24.3011°</w:t>
            </w:r>
          </w:p>
        </w:tc>
        <w:tc>
          <w:tcPr>
            <w:tcW w:w="2036" w:type="dxa"/>
            <w:tcBorders>
              <w:top w:val="nil"/>
              <w:bottom w:val="nil"/>
            </w:tcBorders>
            <w:shd w:val="clear" w:color="auto" w:fill="B6DDE8"/>
            <w:vAlign w:val="center"/>
          </w:tcPr>
          <w:p>
            <w:pPr>
              <w:jc w:val="center"/>
              <w:rPr>
                <w:sz w:val="18"/>
                <w:szCs w:val="18"/>
              </w:rPr>
            </w:pPr>
            <w:r>
              <w:rPr>
                <w:sz w:val="18"/>
                <w:szCs w:val="18"/>
              </w:rPr>
              <w:t>116.1150°</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vAlign w:val="center"/>
          </w:tcPr>
          <w:p>
            <w:pPr>
              <w:jc w:val="center"/>
              <w:rPr>
                <w:sz w:val="18"/>
                <w:szCs w:val="18"/>
              </w:rPr>
            </w:pPr>
            <w:r>
              <w:rPr>
                <w:sz w:val="18"/>
                <w:szCs w:val="18"/>
              </w:rPr>
              <w:t>S22</w:t>
            </w:r>
          </w:p>
        </w:tc>
        <w:tc>
          <w:tcPr>
            <w:tcW w:w="2387" w:type="dxa"/>
            <w:tcBorders>
              <w:top w:val="nil"/>
              <w:bottom w:val="nil"/>
            </w:tcBorders>
            <w:vAlign w:val="center"/>
          </w:tcPr>
          <w:p>
            <w:pPr>
              <w:jc w:val="center"/>
              <w:rPr>
                <w:sz w:val="18"/>
                <w:szCs w:val="18"/>
              </w:rPr>
            </w:pPr>
            <w:r>
              <w:rPr>
                <w:sz w:val="18"/>
                <w:szCs w:val="18"/>
              </w:rPr>
              <w:t>广东广州</w:t>
            </w:r>
          </w:p>
        </w:tc>
        <w:tc>
          <w:tcPr>
            <w:tcW w:w="2028" w:type="dxa"/>
            <w:tcBorders>
              <w:top w:val="nil"/>
              <w:bottom w:val="nil"/>
            </w:tcBorders>
            <w:vAlign w:val="center"/>
          </w:tcPr>
          <w:p>
            <w:pPr>
              <w:jc w:val="center"/>
              <w:rPr>
                <w:sz w:val="18"/>
                <w:szCs w:val="18"/>
              </w:rPr>
            </w:pPr>
            <w:r>
              <w:rPr>
                <w:sz w:val="18"/>
                <w:szCs w:val="18"/>
              </w:rPr>
              <w:t>24.3775°</w:t>
            </w:r>
          </w:p>
        </w:tc>
        <w:tc>
          <w:tcPr>
            <w:tcW w:w="2036" w:type="dxa"/>
            <w:tcBorders>
              <w:top w:val="nil"/>
              <w:bottom w:val="nil"/>
            </w:tcBorders>
            <w:vAlign w:val="center"/>
          </w:tcPr>
          <w:p>
            <w:pPr>
              <w:jc w:val="center"/>
              <w:rPr>
                <w:sz w:val="18"/>
                <w:szCs w:val="18"/>
              </w:rPr>
            </w:pPr>
            <w:r>
              <w:rPr>
                <w:sz w:val="18"/>
                <w:szCs w:val="18"/>
              </w:rPr>
              <w:t>116.1303°</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nil"/>
            </w:tcBorders>
            <w:shd w:val="clear" w:color="auto" w:fill="B6DDE8"/>
            <w:vAlign w:val="center"/>
          </w:tcPr>
          <w:p>
            <w:pPr>
              <w:jc w:val="center"/>
              <w:rPr>
                <w:sz w:val="18"/>
                <w:szCs w:val="18"/>
              </w:rPr>
            </w:pPr>
            <w:r>
              <w:rPr>
                <w:sz w:val="18"/>
                <w:szCs w:val="18"/>
              </w:rPr>
              <w:t>S23</w:t>
            </w:r>
          </w:p>
        </w:tc>
        <w:tc>
          <w:tcPr>
            <w:tcW w:w="2387" w:type="dxa"/>
            <w:tcBorders>
              <w:top w:val="nil"/>
              <w:bottom w:val="nil"/>
            </w:tcBorders>
            <w:shd w:val="clear" w:color="auto" w:fill="B6DDE8"/>
            <w:vAlign w:val="center"/>
          </w:tcPr>
          <w:p>
            <w:pPr>
              <w:jc w:val="center"/>
              <w:rPr>
                <w:sz w:val="18"/>
                <w:szCs w:val="18"/>
              </w:rPr>
            </w:pPr>
            <w:r>
              <w:rPr>
                <w:sz w:val="18"/>
                <w:szCs w:val="18"/>
              </w:rPr>
              <w:t>广西南宁</w:t>
            </w:r>
          </w:p>
        </w:tc>
        <w:tc>
          <w:tcPr>
            <w:tcW w:w="2028" w:type="dxa"/>
            <w:tcBorders>
              <w:top w:val="nil"/>
              <w:bottom w:val="nil"/>
            </w:tcBorders>
            <w:shd w:val="clear" w:color="auto" w:fill="B6DDE8"/>
            <w:vAlign w:val="center"/>
          </w:tcPr>
          <w:p>
            <w:pPr>
              <w:jc w:val="center"/>
              <w:rPr>
                <w:sz w:val="18"/>
                <w:szCs w:val="18"/>
              </w:rPr>
            </w:pPr>
            <w:r>
              <w:rPr>
                <w:sz w:val="18"/>
                <w:szCs w:val="18"/>
              </w:rPr>
              <w:t>22.8036°</w:t>
            </w:r>
          </w:p>
        </w:tc>
        <w:tc>
          <w:tcPr>
            <w:tcW w:w="2036" w:type="dxa"/>
            <w:tcBorders>
              <w:top w:val="nil"/>
              <w:bottom w:val="nil"/>
            </w:tcBorders>
            <w:shd w:val="clear" w:color="auto" w:fill="B6DDE8"/>
            <w:vAlign w:val="center"/>
          </w:tcPr>
          <w:p>
            <w:pPr>
              <w:jc w:val="center"/>
              <w:rPr>
                <w:sz w:val="18"/>
                <w:szCs w:val="18"/>
              </w:rPr>
            </w:pPr>
            <w:r>
              <w:rPr>
                <w:sz w:val="18"/>
                <w:szCs w:val="18"/>
              </w:rPr>
              <w:t>108.2867°</w:t>
            </w:r>
          </w:p>
        </w:tc>
      </w:tr>
      <w:tr>
        <w:tblPrEx>
          <w:tblBorders>
            <w:top w:val="single" w:color="31849B" w:sz="12" w:space="0"/>
            <w:left w:val="none" w:color="auto" w:sz="0" w:space="0"/>
            <w:bottom w:val="single" w:color="31849B" w:sz="12" w:space="0"/>
            <w:right w:val="none" w:color="auto" w:sz="0" w:space="0"/>
            <w:insideH w:val="single" w:color="31849B" w:sz="4" w:space="0"/>
            <w:insideV w:val="none" w:color="auto" w:sz="0" w:space="0"/>
          </w:tblBorders>
          <w:tblLayout w:type="fixed"/>
          <w:tblCellMar>
            <w:top w:w="0" w:type="dxa"/>
            <w:left w:w="108" w:type="dxa"/>
            <w:bottom w:w="0" w:type="dxa"/>
            <w:right w:w="108" w:type="dxa"/>
          </w:tblCellMar>
        </w:tblPrEx>
        <w:trPr>
          <w:trHeight w:val="283" w:hRule="exact"/>
          <w:jc w:val="center"/>
        </w:trPr>
        <w:tc>
          <w:tcPr>
            <w:tcW w:w="1920" w:type="dxa"/>
            <w:tcBorders>
              <w:top w:val="nil"/>
              <w:bottom w:val="single" w:color="31849B" w:sz="12" w:space="0"/>
            </w:tcBorders>
            <w:vAlign w:val="center"/>
          </w:tcPr>
          <w:p>
            <w:pPr>
              <w:jc w:val="center"/>
              <w:rPr>
                <w:sz w:val="18"/>
                <w:szCs w:val="18"/>
              </w:rPr>
            </w:pPr>
            <w:r>
              <w:rPr>
                <w:sz w:val="18"/>
                <w:szCs w:val="18"/>
              </w:rPr>
              <w:t>S24</w:t>
            </w:r>
          </w:p>
        </w:tc>
        <w:tc>
          <w:tcPr>
            <w:tcW w:w="2387" w:type="dxa"/>
            <w:tcBorders>
              <w:top w:val="nil"/>
              <w:bottom w:val="single" w:color="31849B" w:sz="12" w:space="0"/>
            </w:tcBorders>
            <w:vAlign w:val="center"/>
          </w:tcPr>
          <w:p>
            <w:pPr>
              <w:jc w:val="center"/>
              <w:rPr>
                <w:sz w:val="18"/>
                <w:szCs w:val="18"/>
              </w:rPr>
            </w:pPr>
            <w:r>
              <w:rPr>
                <w:sz w:val="18"/>
                <w:szCs w:val="18"/>
              </w:rPr>
              <w:t>西双版纳</w:t>
            </w:r>
          </w:p>
        </w:tc>
        <w:tc>
          <w:tcPr>
            <w:tcW w:w="2028" w:type="dxa"/>
            <w:tcBorders>
              <w:top w:val="nil"/>
              <w:bottom w:val="single" w:color="31849B" w:sz="12" w:space="0"/>
            </w:tcBorders>
            <w:vAlign w:val="center"/>
          </w:tcPr>
          <w:p>
            <w:pPr>
              <w:jc w:val="center"/>
              <w:rPr>
                <w:sz w:val="18"/>
                <w:szCs w:val="18"/>
              </w:rPr>
            </w:pPr>
            <w:r>
              <w:rPr>
                <w:sz w:val="18"/>
                <w:szCs w:val="18"/>
              </w:rPr>
              <w:t>22.0058°</w:t>
            </w:r>
          </w:p>
        </w:tc>
        <w:tc>
          <w:tcPr>
            <w:tcW w:w="2036" w:type="dxa"/>
            <w:tcBorders>
              <w:top w:val="nil"/>
              <w:bottom w:val="single" w:color="31849B" w:sz="12" w:space="0"/>
            </w:tcBorders>
            <w:vAlign w:val="center"/>
          </w:tcPr>
          <w:p>
            <w:pPr>
              <w:jc w:val="center"/>
              <w:rPr>
                <w:sz w:val="18"/>
                <w:szCs w:val="18"/>
              </w:rPr>
            </w:pPr>
            <w:r>
              <w:rPr>
                <w:sz w:val="18"/>
                <w:szCs w:val="18"/>
              </w:rPr>
              <w:t>100.7953°</w:t>
            </w:r>
          </w:p>
        </w:tc>
      </w:tr>
    </w:tbl>
    <w:p>
      <w:pPr>
        <w:pStyle w:val="57"/>
        <w:numPr>
          <w:ilvl w:val="0"/>
          <w:numId w:val="6"/>
        </w:numPr>
        <w:spacing w:before="120" w:after="120" w:line="320" w:lineRule="exact"/>
        <w:ind w:left="840" w:leftChars="200"/>
        <w:rPr>
          <w:rFonts w:hAnsi="Times New Roman" w:eastAsia="宋体"/>
          <w:sz w:val="21"/>
          <w:szCs w:val="21"/>
        </w:rPr>
      </w:pPr>
      <w:bookmarkStart w:id="14" w:name="_Toc417832545"/>
      <w:bookmarkStart w:id="15" w:name="_Toc421887785"/>
      <w:r>
        <w:rPr>
          <w:rFonts w:hAnsi="Times New Roman" w:eastAsia="宋体"/>
          <w:sz w:val="24"/>
          <w:szCs w:val="24"/>
        </w:rPr>
        <w:t>理化性质指标测定方法</w:t>
      </w:r>
      <w:bookmarkEnd w:id="14"/>
      <w:bookmarkEnd w:id="15"/>
    </w:p>
    <w:p>
      <w:pPr>
        <w:spacing w:line="320" w:lineRule="exact"/>
        <w:ind w:firstLine="420" w:firstLineChars="200"/>
        <w:rPr>
          <w:szCs w:val="21"/>
        </w:rPr>
      </w:pPr>
      <w:r>
        <w:rPr>
          <w:szCs w:val="21"/>
        </w:rPr>
        <w:t>本实验对土壤样品，采用称重法（NY/T 52-1987）测定含水率；电位法（NY/T 1121.2-2006）测定pH值；吸管法（LY/T 1225-1999）测定粒径；乙酸铵交换法和氯化铵-乙酸铵交换法(LY/T 1243-1999)测定阳离子交换量（CEC）；碳氮元素分析仪（Vario MAX CN）测定总碳（TC）、总氮（TN）以及碳氮比（C/N）；水提法预处理后，总有机碳分析仪（TOC-V</w:t>
      </w:r>
      <w:r>
        <w:rPr>
          <w:szCs w:val="21"/>
          <w:vertAlign w:val="subscript"/>
        </w:rPr>
        <w:t>CPH</w:t>
      </w:r>
      <w:r>
        <w:rPr>
          <w:szCs w:val="21"/>
        </w:rPr>
        <w:t>，SHIMADZU，Japan）测定溶解性有机碳（DOC）。</w:t>
      </w:r>
    </w:p>
    <w:p>
      <w:pPr>
        <w:pStyle w:val="57"/>
        <w:numPr>
          <w:ilvl w:val="0"/>
          <w:numId w:val="6"/>
        </w:numPr>
        <w:spacing w:before="120" w:after="120" w:line="320" w:lineRule="exact"/>
        <w:ind w:left="840" w:leftChars="200"/>
        <w:rPr>
          <w:rFonts w:hAnsi="Times New Roman" w:eastAsia="宋体"/>
          <w:sz w:val="24"/>
          <w:szCs w:val="24"/>
        </w:rPr>
      </w:pPr>
      <w:bookmarkStart w:id="16" w:name="_Toc417832551"/>
      <w:bookmarkStart w:id="17" w:name="_Toc421887786"/>
      <w:r>
        <w:rPr>
          <w:rFonts w:hAnsi="Times New Roman" w:eastAsia="宋体"/>
          <w:sz w:val="24"/>
          <w:szCs w:val="24"/>
        </w:rPr>
        <w:t>微生物群落结构测定</w:t>
      </w:r>
      <w:bookmarkEnd w:id="16"/>
      <w:bookmarkEnd w:id="17"/>
    </w:p>
    <w:p>
      <w:pPr>
        <w:autoSpaceDE w:val="0"/>
        <w:autoSpaceDN w:val="0"/>
        <w:adjustRightInd w:val="0"/>
        <w:spacing w:line="320" w:lineRule="exact"/>
        <w:ind w:firstLine="420" w:firstLineChars="200"/>
        <w:rPr>
          <w:szCs w:val="21"/>
        </w:rPr>
      </w:pPr>
      <w:r>
        <w:rPr>
          <w:szCs w:val="21"/>
        </w:rPr>
        <w:t>采用 BioLog 的碳生态板对土壤微生物的群落水平的生理特征进行分析评估，即将新鲜的泥土置于无菌磷酸盐缓冲溶液中，配置成土壤悬浮液。震荡后，将土壤悬浮液按一定比例稀释，使得不同液体样品的碳含量趋向同一水平级以减少额外显色。将所有稀释的悬浮液加入BioLog生态板中，在30</w:t>
      </w:r>
      <w:r>
        <w:rPr>
          <w:rFonts w:hAnsi="宋体"/>
          <w:szCs w:val="21"/>
        </w:rPr>
        <w:t>℃</w:t>
      </w:r>
      <w:r>
        <w:rPr>
          <w:szCs w:val="21"/>
        </w:rPr>
        <w:t>下进行培养。每12h用 MicroLog Rel 4.2 软件测定悬浮液在590nm下的吸光度。</w:t>
      </w:r>
    </w:p>
    <w:p>
      <w:pPr>
        <w:autoSpaceDE w:val="0"/>
        <w:autoSpaceDN w:val="0"/>
        <w:adjustRightInd w:val="0"/>
        <w:spacing w:line="320" w:lineRule="exact"/>
        <w:ind w:firstLine="420" w:firstLineChars="200"/>
        <w:rPr>
          <w:szCs w:val="21"/>
        </w:rPr>
      </w:pPr>
      <w:r>
        <w:rPr>
          <w:szCs w:val="21"/>
        </w:rPr>
        <w:t>采用MP公司 FastDNA SPIN Kit For Soil提取DNA。液体样品提取前先于 4</w:t>
      </w:r>
      <w:r>
        <w:rPr>
          <w:rFonts w:hAnsi="宋体"/>
          <w:szCs w:val="21"/>
        </w:rPr>
        <w:t>℃</w:t>
      </w:r>
      <w:r>
        <w:rPr>
          <w:szCs w:val="21"/>
        </w:rPr>
        <w:t xml:space="preserve"> 10000g离心10min收集微生物，对其群落结构进行分析</w:t>
      </w:r>
      <w:r>
        <w:rPr>
          <w:szCs w:val="21"/>
          <w:vertAlign w:val="superscript"/>
        </w:rPr>
        <w:t>[10]</w:t>
      </w:r>
      <w:r>
        <w:rPr>
          <w:szCs w:val="21"/>
        </w:rPr>
        <w:t>。</w:t>
      </w:r>
      <w:bookmarkStart w:id="18" w:name="_Toc417832552"/>
    </w:p>
    <w:p>
      <w:pPr>
        <w:pStyle w:val="57"/>
        <w:numPr>
          <w:ilvl w:val="0"/>
          <w:numId w:val="6"/>
        </w:numPr>
        <w:spacing w:before="120" w:after="120" w:line="320" w:lineRule="exact"/>
        <w:ind w:left="840" w:leftChars="200"/>
        <w:rPr>
          <w:rFonts w:hAnsi="Times New Roman" w:eastAsia="宋体"/>
          <w:sz w:val="24"/>
          <w:szCs w:val="24"/>
        </w:rPr>
      </w:pPr>
      <w:bookmarkStart w:id="19" w:name="_Toc421887787"/>
      <w:r>
        <w:rPr>
          <w:rFonts w:hAnsi="Times New Roman" w:eastAsia="宋体"/>
          <w:sz w:val="24"/>
          <w:szCs w:val="24"/>
        </w:rPr>
        <w:t>Shannon-Wiener 指数计算</w:t>
      </w:r>
      <w:bookmarkEnd w:id="18"/>
      <w:bookmarkEnd w:id="19"/>
    </w:p>
    <w:p>
      <w:pPr>
        <w:spacing w:line="320" w:lineRule="exact"/>
        <w:ind w:firstLine="420" w:firstLineChars="200"/>
        <w:rPr>
          <w:szCs w:val="21"/>
        </w:rPr>
      </w:pPr>
      <w:r>
        <w:rPr>
          <w:szCs w:val="21"/>
        </w:rPr>
        <w:t>将上述提取的DNA样本送检测序获得群落中微生物所有种的个体总数和各个种微生物的个体数目。根据ANOVA统计法，计算得出Shannon-Wiener 指数，以显示微生物功能多样性。</w:t>
      </w:r>
    </w:p>
    <w:p>
      <w:pPr>
        <w:spacing w:line="320" w:lineRule="exact"/>
        <w:ind w:firstLine="420" w:firstLineChars="200"/>
        <w:rPr>
          <w:szCs w:val="21"/>
        </w:rPr>
      </w:pPr>
      <w:r>
        <w:rPr>
          <w:szCs w:val="21"/>
        </w:rPr>
        <w:t>Shannon-Wiener 指数计算公式：</w:t>
      </w:r>
    </w:p>
    <w:p>
      <w:pPr>
        <w:pStyle w:val="41"/>
        <w:autoSpaceDE w:val="0"/>
        <w:autoSpaceDN w:val="0"/>
        <w:adjustRightInd w:val="0"/>
        <w:spacing w:beforeLines="50" w:line="320" w:lineRule="exact"/>
        <w:ind w:firstLine="735" w:firstLineChars="350"/>
        <w:rPr>
          <w:szCs w:val="21"/>
        </w:rPr>
      </w:pPr>
      <w:r>
        <w:rPr>
          <w:rFonts w:ascii="Times New Roman" w:hAnsi="Times New Roman" w:eastAsia="宋体" w:cs="Times New Roman"/>
          <w:kern w:val="2"/>
          <w:position w:val="-28"/>
          <w:sz w:val="21"/>
          <w:szCs w:val="21"/>
          <w:lang w:val="en-US" w:eastAsia="zh-CN" w:bidi="ar-SA"/>
        </w:rPr>
        <w:pict>
          <v:shape id="图片 48" o:spid="_x0000_s1026" type="#_x0000_t75" style="height:41.3pt;width:164.05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r>
        <w:rPr>
          <w:szCs w:val="21"/>
        </w:rPr>
        <w:fldChar w:fldCharType="begin"/>
      </w:r>
      <w:r>
        <w:rPr>
          <w:szCs w:val="21"/>
        </w:rPr>
        <w:instrText xml:space="preserve"> QUOTE </w:instrText>
      </w:r>
      <w:r>
        <w:rPr>
          <w:rFonts w:ascii="Times New Roman" w:hAnsi="Times New Roman" w:eastAsia="宋体" w:cs="Times New Roman"/>
          <w:kern w:val="2"/>
          <w:position w:val="-26"/>
          <w:sz w:val="21"/>
          <w:szCs w:val="21"/>
          <w:lang w:val="en-US" w:eastAsia="zh-CN" w:bidi="ar-SA"/>
        </w:rPr>
        <w:pict>
          <v:shape id="Picture 3" o:spid="_x0000_s1027" type="#_x0000_t75" style="height:28.8pt;width:114.55pt;rotation:0f;" o:ole="f" fillcolor="#FFFFFF" filled="f" o:preferrelative="t" stroked="f" coordorigin="0,0" coordsize="21600,21600">
            <v:fill on="f" color2="#FFFFFF" focus="0%"/>
            <v:imagedata gain="65536f" blacklevel="0f" gamma="0" chromakey="#FFFFFF" o:title="" r:id="rId20"/>
            <o:lock v:ext="edit" position="f" selection="f" grouping="f" rotation="f" cropping="f" text="f" aspectratio="t"/>
            <w10:wrap type="none"/>
            <w10:anchorlock/>
          </v:shape>
        </w:pict>
      </w:r>
      <w:r>
        <w:rPr>
          <w:szCs w:val="21"/>
        </w:rPr>
        <w:instrText xml:space="preserve">  \* MERGEFORMAT </w:instrText>
      </w:r>
      <w:r>
        <w:rPr>
          <w:szCs w:val="21"/>
        </w:rPr>
        <w:fldChar w:fldCharType="end"/>
      </w:r>
      <w:bookmarkStart w:id="20" w:name="OLE_LINK11"/>
      <w:bookmarkStart w:id="21" w:name="OLE_LINK12"/>
      <w:r>
        <w:rPr>
          <w:szCs w:val="21"/>
        </w:rPr>
        <w:t>............</w:t>
      </w:r>
      <w:bookmarkEnd w:id="20"/>
      <w:bookmarkEnd w:id="21"/>
      <w:r>
        <w:rPr>
          <w:szCs w:val="21"/>
        </w:rPr>
        <w:t>.</w:t>
      </w:r>
      <w:bookmarkStart w:id="22" w:name="OLE_LINK13"/>
      <w:bookmarkStart w:id="23" w:name="OLE_LINK14"/>
      <w:bookmarkStart w:id="24" w:name="OLE_LINK18"/>
      <w:r>
        <w:rPr>
          <w:szCs w:val="21"/>
        </w:rPr>
        <w:t>......</w:t>
      </w:r>
      <w:bookmarkEnd w:id="22"/>
      <w:bookmarkEnd w:id="23"/>
      <w:bookmarkEnd w:id="24"/>
      <w:r>
        <w:rPr>
          <w:szCs w:val="21"/>
        </w:rPr>
        <w:t>..........................（式1）</w:t>
      </w:r>
    </w:p>
    <w:p>
      <w:pPr>
        <w:spacing w:line="320" w:lineRule="exact"/>
        <w:ind w:left="496" w:leftChars="236"/>
        <w:rPr>
          <w:szCs w:val="21"/>
        </w:rPr>
      </w:pPr>
      <w:r>
        <w:rPr>
          <w:szCs w:val="21"/>
        </w:rPr>
        <w:t>式中：S</w:t>
      </w:r>
      <w:r>
        <w:rPr>
          <w:szCs w:val="21"/>
          <w:vertAlign w:val="subscript"/>
        </w:rPr>
        <w:t>obs</w:t>
      </w:r>
      <w:r>
        <w:rPr>
          <w:szCs w:val="21"/>
        </w:rPr>
        <w:t xml:space="preserve"> = 测试样的个数；</w:t>
      </w:r>
    </w:p>
    <w:p>
      <w:pPr>
        <w:spacing w:line="320" w:lineRule="exact"/>
        <w:ind w:left="496" w:leftChars="236" w:firstLine="630" w:firstLineChars="300"/>
        <w:rPr>
          <w:szCs w:val="21"/>
        </w:rPr>
      </w:pPr>
      <w:r>
        <w:rPr>
          <w:szCs w:val="21"/>
        </w:rPr>
        <w:t>n</w:t>
      </w:r>
      <w:r>
        <w:rPr>
          <w:szCs w:val="21"/>
          <w:vertAlign w:val="subscript"/>
        </w:rPr>
        <w:t>i</w:t>
      </w:r>
      <w:r>
        <w:rPr>
          <w:szCs w:val="21"/>
        </w:rPr>
        <w:t xml:space="preserve"> = 第i种微生物的个体数目；</w:t>
      </w:r>
    </w:p>
    <w:p>
      <w:pPr>
        <w:spacing w:line="320" w:lineRule="exact"/>
        <w:ind w:left="496" w:leftChars="236" w:firstLine="630" w:firstLineChars="300"/>
        <w:rPr>
          <w:szCs w:val="21"/>
        </w:rPr>
      </w:pPr>
      <w:r>
        <w:rPr>
          <w:szCs w:val="21"/>
        </w:rPr>
        <w:t>N = 群落中所有种的个体总数。</w:t>
      </w:r>
    </w:p>
    <w:p>
      <w:pPr>
        <w:pStyle w:val="57"/>
        <w:numPr>
          <w:ilvl w:val="0"/>
          <w:numId w:val="6"/>
        </w:numPr>
        <w:spacing w:before="120" w:after="120" w:line="320" w:lineRule="exact"/>
        <w:ind w:left="840" w:leftChars="200"/>
        <w:rPr>
          <w:rFonts w:hAnsi="Times New Roman" w:eastAsia="宋体"/>
          <w:sz w:val="24"/>
          <w:szCs w:val="24"/>
        </w:rPr>
      </w:pPr>
      <w:bookmarkStart w:id="25" w:name="_Toc417832553"/>
      <w:bookmarkStart w:id="26" w:name="_Toc421887788"/>
      <w:r>
        <w:rPr>
          <w:rFonts w:hAnsi="Times New Roman" w:eastAsia="宋体"/>
          <w:sz w:val="24"/>
          <w:szCs w:val="24"/>
        </w:rPr>
        <w:t>底物诱导呼吸速率实验</w:t>
      </w:r>
      <w:bookmarkEnd w:id="25"/>
      <w:bookmarkEnd w:id="26"/>
    </w:p>
    <w:p>
      <w:pPr>
        <w:spacing w:line="320" w:lineRule="exact"/>
        <w:ind w:firstLine="420" w:firstLineChars="200"/>
        <w:rPr>
          <w:szCs w:val="21"/>
        </w:rPr>
      </w:pPr>
      <w:bookmarkStart w:id="27" w:name="_Toc421565316"/>
      <w:bookmarkStart w:id="28" w:name="_Toc421565637"/>
      <w:bookmarkStart w:id="29" w:name="_Toc421642986"/>
      <w:r>
        <w:rPr>
          <w:szCs w:val="21"/>
        </w:rPr>
        <w:t>在正式实验前，将每份土样的含水率调整到15%，在28</w:t>
      </w:r>
      <w:r>
        <w:rPr>
          <w:rFonts w:hAnsi="宋体"/>
          <w:szCs w:val="21"/>
        </w:rPr>
        <w:t>℃</w:t>
      </w:r>
      <w:r>
        <w:rPr>
          <w:szCs w:val="21"/>
        </w:rPr>
        <w:t>恒温恒湿条件下培养7天。培养后，将土壤充分混合，均分为两等份，并标记为A和B。A组分均匀喷洒2ml CuCl</w:t>
      </w:r>
      <w:r>
        <w:rPr>
          <w:szCs w:val="21"/>
          <w:vertAlign w:val="subscript"/>
        </w:rPr>
        <w:t>2</w:t>
      </w:r>
      <w:r>
        <w:rPr>
          <w:szCs w:val="21"/>
        </w:rPr>
        <w:t>溶液作Cu胁迫处理，B组分均匀喷洒2ml去离子灭菌水作为对照组。在25°C恒温下将土壤培养60天，每天加入一定量的去离子灭菌水以保持土壤含水率不变。定义加入胁迫的当天为第0天，分别在第1、3、15、30及60天测定底物诱导呼吸速率（SIR）：从A、B两组分别称取12g土样于塑料瓶（250ml）中，加入360mg葡萄糖，并将加入了5ml 0.2M NaOH的15ml玻璃瓶置于塑料瓶中并密封塑料瓶，实验装置见图1。</w:t>
      </w:r>
      <w:bookmarkEnd w:id="27"/>
      <w:bookmarkEnd w:id="28"/>
      <w:bookmarkEnd w:id="29"/>
      <w:r>
        <w:rPr>
          <w:szCs w:val="21"/>
        </w:rPr>
        <w:t xml:space="preserve"> </w:t>
      </w:r>
    </w:p>
    <w:p>
      <w:pPr>
        <w:pStyle w:val="50"/>
        <w:widowControl w:val="0"/>
        <w:spacing w:beforeLines="50" w:afterLines="50" w:line="320" w:lineRule="exact"/>
        <w:ind w:firstLine="0" w:firstLineChars="0"/>
        <w:jc w:val="center"/>
        <w:outlineLvl w:val="1"/>
        <w:rPr>
          <w:rFonts w:ascii="Times New Roman" w:hAnsi="Times New Roman"/>
          <w:sz w:val="18"/>
          <w:szCs w:val="18"/>
        </w:rPr>
      </w:pPr>
      <w:r>
        <w:rPr>
          <w:rFonts w:ascii="Times New Roman" w:hAnsi="Times New Roman" w:eastAsia="宋体" w:cs="Times New Roman"/>
          <w:kern w:val="0"/>
          <w:sz w:val="18"/>
          <w:szCs w:val="18"/>
          <w:lang w:val="en-US" w:eastAsia="zh-CN" w:bidi="ar-SA"/>
        </w:rPr>
        <w:pict>
          <v:shape id="图片 1" o:spid="_x0000_s1028" type="#_x0000_t75" style="position:absolute;left:0;margin-left:28.05pt;margin-top:14.3pt;height:126.75pt;width:382.5pt;mso-wrap-distance-bottom:0pt;mso-wrap-distance-top:0pt;rotation:0f;z-index:251664384;" o:ole="f" fillcolor="#FFFFFF" filled="f" o:preferrelative="t" stroked="t" coordorigin="0,0" coordsize="21600,21600">
            <v:fill on="f" color2="#FFFFFF" focus="0%"/>
            <v:stroke weight="1.5pt" color="#000000" color2="#FFFFFF" miterlimit="2"/>
            <v:imagedata cropleft="4209f" croptop="19337f" cropright="4414f" cropbottom="14774f" gain="65536f" blacklevel="0f" gamma="0" o:title="" r:id="rId21"/>
            <o:lock v:ext="edit" position="f" selection="f" grouping="f" rotation="f" cropping="f" text="f" aspectratio="t"/>
            <w10:wrap type="topAndBottom"/>
          </v:shape>
        </w:pict>
      </w:r>
      <w:r>
        <w:rPr>
          <w:rFonts w:ascii="Times New Roman" w:hAnsi="宋体"/>
          <w:sz w:val="18"/>
          <w:szCs w:val="18"/>
        </w:rPr>
        <w:t>图</w:t>
      </w:r>
      <w:r>
        <w:rPr>
          <w:rFonts w:ascii="Times New Roman" w:hAnsi="Times New Roman"/>
          <w:sz w:val="18"/>
          <w:szCs w:val="18"/>
        </w:rPr>
        <w:t xml:space="preserve">1 </w:t>
      </w:r>
      <w:r>
        <w:rPr>
          <w:rFonts w:ascii="Times New Roman" w:hAnsi="宋体"/>
          <w:sz w:val="18"/>
          <w:szCs w:val="18"/>
        </w:rPr>
        <w:t>反应装置</w:t>
      </w:r>
    </w:p>
    <w:p>
      <w:pPr>
        <w:spacing w:line="320" w:lineRule="exact"/>
        <w:ind w:firstLine="420" w:firstLineChars="200"/>
        <w:rPr>
          <w:szCs w:val="21"/>
        </w:rPr>
      </w:pPr>
      <w:r>
        <w:rPr>
          <w:szCs w:val="21"/>
        </w:rPr>
        <w:t>在28°C下进一步培养12h，在此过程中呼吸产生的CO</w:t>
      </w:r>
      <w:r>
        <w:rPr>
          <w:szCs w:val="21"/>
          <w:vertAlign w:val="subscript"/>
        </w:rPr>
        <w:t>2</w:t>
      </w:r>
      <w:r>
        <w:rPr>
          <w:szCs w:val="21"/>
        </w:rPr>
        <w:t>被NaOH吸收，剩余NaOH在结束培养后先加入1M BaCl</w:t>
      </w:r>
      <w:r>
        <w:rPr>
          <w:szCs w:val="21"/>
          <w:vertAlign w:val="subscript"/>
        </w:rPr>
        <w:t>2</w:t>
      </w:r>
      <w:r>
        <w:rPr>
          <w:szCs w:val="21"/>
        </w:rPr>
        <w:t>溶液，再用0.05M HCl 溶液进行滴定。底物诱导呼吸速率的5次实验中，24个地区Cu胁迫和无Cu胁迫的土样分别设置3组平行，每次实验设置3个空白对照。该阶段研究共使用735个培养瓶。</w:t>
      </w:r>
    </w:p>
    <w:p>
      <w:pPr>
        <w:spacing w:line="320" w:lineRule="exact"/>
        <w:ind w:firstLine="420" w:firstLineChars="200"/>
        <w:rPr>
          <w:szCs w:val="21"/>
        </w:rPr>
      </w:pPr>
      <w:r>
        <w:rPr>
          <w:szCs w:val="21"/>
        </w:rPr>
        <w:t>通过计算加Cu胁迫处理和无胁迫处理的相关底物诱导呼吸速率，量化土壤微生物对扰动的抵抗力f(1)、恢复力f(60)和功能稳定性Sb（图2），从而确定受Cu胁迫后第1天至第60天的抵抗力和恢复力。定义Sb为弹性曲线面积，Sb越大，土壤的功能稳定性越好。</w:t>
      </w:r>
    </w:p>
    <w:p>
      <w:pPr>
        <w:spacing w:beforeLines="50" w:line="320" w:lineRule="exact"/>
        <w:jc w:val="center"/>
        <w:rPr>
          <w:rFonts w:hint="eastAsia"/>
          <w:sz w:val="18"/>
          <w:szCs w:val="18"/>
        </w:rPr>
      </w:pPr>
    </w:p>
    <w:p>
      <w:pPr>
        <w:spacing w:beforeLines="50" w:line="320" w:lineRule="exact"/>
        <w:jc w:val="center"/>
        <w:rPr>
          <w:rFonts w:hint="eastAsia"/>
          <w:sz w:val="18"/>
          <w:szCs w:val="18"/>
        </w:rPr>
      </w:pPr>
    </w:p>
    <w:p>
      <w:pPr>
        <w:spacing w:beforeLines="50" w:line="320" w:lineRule="exact"/>
        <w:jc w:val="center"/>
        <w:rPr>
          <w:rFonts w:hint="eastAsia"/>
          <w:sz w:val="18"/>
          <w:szCs w:val="18"/>
        </w:rPr>
      </w:pPr>
    </w:p>
    <w:p>
      <w:pPr>
        <w:spacing w:beforeLines="50" w:line="320" w:lineRule="exact"/>
        <w:jc w:val="center"/>
        <w:rPr>
          <w:rFonts w:hint="eastAsia"/>
          <w:sz w:val="18"/>
          <w:szCs w:val="18"/>
        </w:rPr>
      </w:pPr>
    </w:p>
    <w:p>
      <w:pPr>
        <w:spacing w:beforeLines="50" w:line="320" w:lineRule="exact"/>
        <w:jc w:val="center"/>
        <w:rPr>
          <w:rFonts w:hint="eastAsia"/>
          <w:sz w:val="18"/>
          <w:szCs w:val="18"/>
        </w:rPr>
      </w:pPr>
      <w:r>
        <w:rPr>
          <w:rFonts w:hint="eastAsia" w:ascii="Times New Roman" w:hAnsi="Times New Roman" w:eastAsia="宋体" w:cs="Times New Roman"/>
          <w:kern w:val="2"/>
          <w:sz w:val="18"/>
          <w:szCs w:val="18"/>
          <w:lang w:val="en-US" w:eastAsia="zh-CN" w:bidi="ar-SA"/>
        </w:rPr>
        <w:pict>
          <v:shape id="图片 12" o:spid="_x0000_s1029" type="#_x0000_t75" style="position:absolute;left:0;margin-left:70.8pt;margin-top:16.1pt;height:191.25pt;width:316.5pt;mso-wrap-distance-bottom:0pt;mso-wrap-distance-top:0pt;rotation:0f;z-index:251665408;" o:ole="f" fillcolor="#FFFFFF" filled="f" o:preferrelative="t" stroked="f" coordorigin="0,0" coordsize="21600,21600">
            <v:fill on="f" color2="#FFFFFF" focus="0%"/>
            <v:imagedata gain="65536f" blacklevel="0f" gamma="0" o:title="" r:id="rId22"/>
            <o:lock v:ext="edit" position="f" selection="f" grouping="f" rotation="f" cropping="f" text="f" aspectratio="t"/>
            <w10:wrap type="topAndBottom"/>
          </v:shape>
        </w:pict>
      </w:r>
    </w:p>
    <w:p>
      <w:pPr>
        <w:spacing w:beforeLines="50" w:afterLines="50" w:line="320" w:lineRule="exact"/>
        <w:jc w:val="center"/>
        <w:rPr>
          <w:sz w:val="18"/>
          <w:szCs w:val="18"/>
        </w:rPr>
      </w:pPr>
      <w:r>
        <w:rPr>
          <w:sz w:val="18"/>
          <w:szCs w:val="18"/>
        </w:rPr>
        <w:t>图2 土壤功能稳定性计算分析图</w:t>
      </w:r>
    </w:p>
    <w:p>
      <w:pPr>
        <w:spacing w:beforeLines="50" w:line="360" w:lineRule="auto"/>
        <w:jc w:val="center"/>
        <w:rPr>
          <w:szCs w:val="21"/>
        </w:rPr>
      </w:pPr>
      <w:r>
        <w:rPr>
          <w:rFonts w:ascii="Times New Roman" w:hAnsi="Times New Roman" w:eastAsia="宋体" w:cs="Times New Roman"/>
          <w:kern w:val="2"/>
          <w:sz w:val="21"/>
          <w:szCs w:val="21"/>
          <w:lang w:val="en-US" w:eastAsia="zh-CN" w:bidi="ar-SA"/>
        </w:rPr>
        <w:pict>
          <v:shape id="Picture 2" o:spid="_x0000_s1030" type="#_x0000_t75" style="height:34.45pt;width:96.4pt;rotation:0f;" o:ole="f"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w:pict>
      </w:r>
      <w:r>
        <w:rPr>
          <w:szCs w:val="21"/>
        </w:rPr>
        <w:t>...................................................................（式2）</w:t>
      </w:r>
    </w:p>
    <w:p>
      <w:pPr>
        <w:spacing w:line="360" w:lineRule="auto"/>
        <w:ind w:firstLine="945" w:firstLineChars="450"/>
        <w:rPr>
          <w:szCs w:val="21"/>
        </w:rPr>
      </w:pPr>
      <w:r>
        <w:rPr>
          <w:rFonts w:ascii="Times New Roman" w:hAnsi="Times New Roman" w:eastAsia="宋体" w:cs="Times New Roman"/>
          <w:kern w:val="2"/>
          <w:sz w:val="21"/>
          <w:szCs w:val="21"/>
          <w:lang w:val="en-US" w:eastAsia="zh-CN" w:bidi="ar-SA"/>
        </w:rPr>
        <w:pict>
          <v:shape id="Picture 7" o:spid="_x0000_s1031" type="#_x0000_t75" style="height:26.9pt;width:83.9pt;rotation:0f;" o:ole="f"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w:pict>
      </w:r>
      <w:r>
        <w:rPr>
          <w:szCs w:val="21"/>
        </w:rPr>
        <w:t>............................................................................（式3）</w:t>
      </w:r>
    </w:p>
    <w:p>
      <w:pPr>
        <w:spacing w:line="320" w:lineRule="exact"/>
        <w:rPr>
          <w:szCs w:val="21"/>
        </w:rPr>
      </w:pPr>
      <w:r>
        <w:rPr>
          <w:szCs w:val="21"/>
        </w:rPr>
        <w:t>式中：f(t) 为第t天试验组与对照组CO</w:t>
      </w:r>
      <w:r>
        <w:rPr>
          <w:szCs w:val="21"/>
          <w:vertAlign w:val="subscript"/>
        </w:rPr>
        <w:t>2</w:t>
      </w:r>
      <w:r>
        <w:rPr>
          <w:szCs w:val="21"/>
        </w:rPr>
        <w:t>的浓度比值；</w:t>
      </w:r>
    </w:p>
    <w:p>
      <w:pPr>
        <w:spacing w:line="320" w:lineRule="exact"/>
        <w:ind w:firstLine="630" w:firstLineChars="300"/>
        <w:rPr>
          <w:szCs w:val="21"/>
        </w:rPr>
      </w:pPr>
      <w:r>
        <w:rPr>
          <w:szCs w:val="21"/>
        </w:rPr>
        <w:t>CO</w:t>
      </w:r>
      <w:r>
        <w:rPr>
          <w:szCs w:val="21"/>
          <w:vertAlign w:val="subscript"/>
        </w:rPr>
        <w:t>2</w:t>
      </w:r>
      <w:r>
        <w:rPr>
          <w:szCs w:val="21"/>
        </w:rPr>
        <w:t>-stressed(t)为试验组第t天的CO</w:t>
      </w:r>
      <w:r>
        <w:rPr>
          <w:szCs w:val="21"/>
          <w:vertAlign w:val="subscript"/>
        </w:rPr>
        <w:t>2</w:t>
      </w:r>
      <w:r>
        <w:rPr>
          <w:szCs w:val="21"/>
        </w:rPr>
        <w:t>的浓度；</w:t>
      </w:r>
    </w:p>
    <w:p>
      <w:pPr>
        <w:spacing w:line="320" w:lineRule="exact"/>
        <w:ind w:firstLine="630" w:firstLineChars="300"/>
        <w:rPr>
          <w:szCs w:val="21"/>
        </w:rPr>
      </w:pPr>
      <w:r>
        <w:rPr>
          <w:szCs w:val="21"/>
        </w:rPr>
        <w:t>CO</w:t>
      </w:r>
      <w:r>
        <w:rPr>
          <w:szCs w:val="21"/>
          <w:vertAlign w:val="subscript"/>
        </w:rPr>
        <w:t>2</w:t>
      </w:r>
      <w:r>
        <w:rPr>
          <w:szCs w:val="21"/>
        </w:rPr>
        <w:t>-control (t)为对照组第t天的CO</w:t>
      </w:r>
      <w:r>
        <w:rPr>
          <w:szCs w:val="21"/>
          <w:vertAlign w:val="subscript"/>
        </w:rPr>
        <w:t>2</w:t>
      </w:r>
      <w:r>
        <w:rPr>
          <w:szCs w:val="21"/>
        </w:rPr>
        <w:t>的浓度；</w:t>
      </w:r>
    </w:p>
    <w:p>
      <w:pPr>
        <w:spacing w:line="320" w:lineRule="exact"/>
        <w:ind w:firstLine="630" w:firstLineChars="300"/>
        <w:rPr>
          <w:szCs w:val="21"/>
        </w:rPr>
      </w:pPr>
      <w:r>
        <w:rPr>
          <w:szCs w:val="21"/>
        </w:rPr>
        <w:t>Sb为土壤稳定性。</w:t>
      </w:r>
      <w:bookmarkStart w:id="30" w:name="_Toc417832554"/>
    </w:p>
    <w:p>
      <w:pPr>
        <w:pStyle w:val="57"/>
        <w:numPr>
          <w:ilvl w:val="0"/>
          <w:numId w:val="6"/>
        </w:numPr>
        <w:spacing w:before="120" w:after="120" w:line="320" w:lineRule="exact"/>
        <w:ind w:left="840" w:leftChars="200"/>
        <w:rPr>
          <w:rFonts w:hAnsi="Times New Roman" w:eastAsia="宋体"/>
          <w:sz w:val="21"/>
          <w:szCs w:val="21"/>
        </w:rPr>
      </w:pPr>
      <w:bookmarkStart w:id="31" w:name="_Toc421887789"/>
      <w:r>
        <w:rPr>
          <w:rFonts w:hAnsi="Times New Roman" w:eastAsia="宋体"/>
          <w:sz w:val="24"/>
          <w:szCs w:val="24"/>
        </w:rPr>
        <w:t>相关性分析</w:t>
      </w:r>
      <w:bookmarkEnd w:id="30"/>
      <w:bookmarkEnd w:id="31"/>
    </w:p>
    <w:p>
      <w:pPr>
        <w:pStyle w:val="41"/>
        <w:spacing w:line="320" w:lineRule="exact"/>
        <w:rPr>
          <w:szCs w:val="21"/>
        </w:rPr>
      </w:pPr>
      <w:r>
        <w:rPr>
          <w:szCs w:val="21"/>
        </w:rPr>
        <w:t>为了探讨土壤理化性质对不同土壤的抵抗力、恢复力和稳定性的影响程度，数据采用SPSS19.0借助Pearson、显著性（双侧）进行相关性分析。</w:t>
      </w:r>
    </w:p>
    <w:p>
      <w:pPr>
        <w:pStyle w:val="41"/>
        <w:spacing w:line="320" w:lineRule="exact"/>
        <w:rPr>
          <w:szCs w:val="21"/>
        </w:rPr>
      </w:pPr>
      <w:r>
        <w:rPr>
          <w:szCs w:val="21"/>
        </w:rPr>
        <w:t>Pearson相关系数— R：用来衡量两个数据集合是否在一条线上面，衡量定距变量间的线性关系。R&gt;0代表两变量正相关，R&lt;0代表两变量负相关，具体判定方法见表2。</w:t>
      </w:r>
    </w:p>
    <w:p>
      <w:pPr>
        <w:pStyle w:val="41"/>
        <w:spacing w:line="320" w:lineRule="exact"/>
        <w:rPr>
          <w:szCs w:val="21"/>
        </w:rPr>
      </w:pPr>
      <w:r>
        <w:rPr>
          <w:szCs w:val="21"/>
        </w:rPr>
        <w:t>显著性（双侧）— P：用来体现显著性分布概率，其中，0.01</w:t>
      </w:r>
      <w:bookmarkStart w:id="32" w:name="OLE_LINK19"/>
      <w:r>
        <w:rPr>
          <w:szCs w:val="21"/>
        </w:rPr>
        <w:t>&lt;</w:t>
      </w:r>
      <w:bookmarkEnd w:id="32"/>
      <w:r>
        <w:rPr>
          <w:szCs w:val="21"/>
        </w:rPr>
        <w:t>P&lt;0.05 表示差异性显著；P&lt;0.01表示差异性非常显著。</w:t>
      </w:r>
    </w:p>
    <w:p>
      <w:pPr>
        <w:spacing w:beforeLines="50" w:afterLines="50" w:line="320" w:lineRule="exact"/>
        <w:jc w:val="center"/>
        <w:rPr>
          <w:sz w:val="18"/>
          <w:szCs w:val="18"/>
        </w:rPr>
      </w:pPr>
      <w:r>
        <w:rPr>
          <w:sz w:val="18"/>
          <w:szCs w:val="18"/>
        </w:rPr>
        <w:t>表2 相关性分析标准</w:t>
      </w:r>
    </w:p>
    <w:tbl>
      <w:tblPr>
        <w:tblStyle w:val="39"/>
        <w:tblW w:w="8374" w:type="dxa"/>
        <w:jc w:val="center"/>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
      <w:tblGrid>
        <w:gridCol w:w="4075"/>
        <w:gridCol w:w="4299"/>
      </w:tblGrid>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97" w:hRule="exact"/>
          <w:jc w:val="center"/>
        </w:trPr>
        <w:tc>
          <w:tcPr>
            <w:tcW w:w="4075" w:type="dxa"/>
            <w:tcBorders>
              <w:top w:val="single" w:color="31849B" w:sz="12" w:space="0"/>
              <w:bottom w:val="single" w:color="31849B" w:sz="12" w:space="0"/>
              <w:right w:val="nil"/>
            </w:tcBorders>
            <w:vAlign w:val="center"/>
          </w:tcPr>
          <w:p>
            <w:pPr>
              <w:spacing w:line="320" w:lineRule="exact"/>
              <w:jc w:val="center"/>
              <w:rPr>
                <w:b/>
                <w:bCs/>
                <w:sz w:val="18"/>
                <w:szCs w:val="18"/>
              </w:rPr>
            </w:pPr>
            <w:r>
              <w:rPr>
                <w:b/>
                <w:bCs/>
                <w:sz w:val="18"/>
                <w:szCs w:val="18"/>
              </w:rPr>
              <w:t>|R|范围</w:t>
            </w:r>
          </w:p>
        </w:tc>
        <w:tc>
          <w:tcPr>
            <w:tcW w:w="4299" w:type="dxa"/>
            <w:tcBorders>
              <w:top w:val="single" w:color="31849B" w:sz="12" w:space="0"/>
              <w:left w:val="nil"/>
              <w:bottom w:val="single" w:color="31849B" w:sz="12" w:space="0"/>
            </w:tcBorders>
            <w:vAlign w:val="center"/>
          </w:tcPr>
          <w:p>
            <w:pPr>
              <w:spacing w:line="320" w:lineRule="exact"/>
              <w:jc w:val="center"/>
              <w:rPr>
                <w:b/>
                <w:bCs/>
                <w:sz w:val="18"/>
                <w:szCs w:val="18"/>
              </w:rPr>
            </w:pPr>
            <w:r>
              <w:rPr>
                <w:b/>
                <w:bCs/>
                <w:sz w:val="18"/>
                <w:szCs w:val="18"/>
              </w:rPr>
              <w:t>相关性</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97" w:hRule="exact"/>
          <w:jc w:val="center"/>
        </w:trPr>
        <w:tc>
          <w:tcPr>
            <w:tcW w:w="4075" w:type="dxa"/>
            <w:tcBorders>
              <w:top w:val="single" w:color="31849B" w:sz="12" w:space="0"/>
              <w:bottom w:val="nil"/>
              <w:right w:val="nil"/>
            </w:tcBorders>
            <w:shd w:val="clear" w:color="auto" w:fill="B6DDE8"/>
            <w:vAlign w:val="center"/>
          </w:tcPr>
          <w:p>
            <w:pPr>
              <w:spacing w:line="320" w:lineRule="exact"/>
              <w:jc w:val="center"/>
              <w:rPr>
                <w:sz w:val="18"/>
                <w:szCs w:val="18"/>
              </w:rPr>
            </w:pPr>
            <w:r>
              <w:rPr>
                <w:sz w:val="18"/>
                <w:szCs w:val="18"/>
              </w:rPr>
              <w:t>0.8&gt; |R|</w:t>
            </w:r>
          </w:p>
        </w:tc>
        <w:tc>
          <w:tcPr>
            <w:tcW w:w="4299" w:type="dxa"/>
            <w:tcBorders>
              <w:top w:val="single" w:color="31849B" w:sz="12" w:space="0"/>
              <w:left w:val="nil"/>
              <w:bottom w:val="nil"/>
            </w:tcBorders>
            <w:shd w:val="clear" w:color="auto" w:fill="B6DDE8"/>
            <w:vAlign w:val="center"/>
          </w:tcPr>
          <w:p>
            <w:pPr>
              <w:spacing w:line="320" w:lineRule="exact"/>
              <w:jc w:val="center"/>
              <w:rPr>
                <w:sz w:val="18"/>
                <w:szCs w:val="18"/>
              </w:rPr>
            </w:pPr>
            <w:r>
              <w:rPr>
                <w:sz w:val="18"/>
                <w:szCs w:val="18"/>
              </w:rPr>
              <w:t>极强相关</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97" w:hRule="exact"/>
          <w:jc w:val="center"/>
        </w:trPr>
        <w:tc>
          <w:tcPr>
            <w:tcW w:w="4075" w:type="dxa"/>
            <w:tcBorders>
              <w:top w:val="nil"/>
              <w:bottom w:val="nil"/>
              <w:right w:val="nil"/>
            </w:tcBorders>
            <w:vAlign w:val="center"/>
          </w:tcPr>
          <w:p>
            <w:pPr>
              <w:spacing w:line="320" w:lineRule="exact"/>
              <w:jc w:val="center"/>
              <w:rPr>
                <w:sz w:val="18"/>
                <w:szCs w:val="18"/>
              </w:rPr>
            </w:pPr>
            <w:r>
              <w:rPr>
                <w:sz w:val="18"/>
                <w:szCs w:val="18"/>
              </w:rPr>
              <w:t>0.6&lt; |R| &lt;0.8</w:t>
            </w:r>
          </w:p>
        </w:tc>
        <w:tc>
          <w:tcPr>
            <w:tcW w:w="4299" w:type="dxa"/>
            <w:tcBorders>
              <w:top w:val="nil"/>
              <w:left w:val="nil"/>
              <w:bottom w:val="nil"/>
            </w:tcBorders>
            <w:vAlign w:val="center"/>
          </w:tcPr>
          <w:p>
            <w:pPr>
              <w:spacing w:line="320" w:lineRule="exact"/>
              <w:jc w:val="center"/>
              <w:rPr>
                <w:sz w:val="18"/>
                <w:szCs w:val="18"/>
              </w:rPr>
            </w:pPr>
            <w:r>
              <w:rPr>
                <w:sz w:val="18"/>
                <w:szCs w:val="18"/>
              </w:rPr>
              <w:t>强相关</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97" w:hRule="exact"/>
          <w:jc w:val="center"/>
        </w:trPr>
        <w:tc>
          <w:tcPr>
            <w:tcW w:w="4075" w:type="dxa"/>
            <w:tcBorders>
              <w:top w:val="nil"/>
              <w:bottom w:val="nil"/>
              <w:right w:val="nil"/>
            </w:tcBorders>
            <w:shd w:val="clear" w:color="auto" w:fill="B6DDE8"/>
            <w:vAlign w:val="center"/>
          </w:tcPr>
          <w:p>
            <w:pPr>
              <w:spacing w:line="320" w:lineRule="exact"/>
              <w:jc w:val="center"/>
              <w:rPr>
                <w:sz w:val="18"/>
                <w:szCs w:val="18"/>
              </w:rPr>
            </w:pPr>
            <w:r>
              <w:rPr>
                <w:sz w:val="18"/>
                <w:szCs w:val="18"/>
              </w:rPr>
              <w:t>0.4&lt; |R| &lt;0.6</w:t>
            </w:r>
          </w:p>
        </w:tc>
        <w:tc>
          <w:tcPr>
            <w:tcW w:w="4299" w:type="dxa"/>
            <w:tcBorders>
              <w:top w:val="nil"/>
              <w:left w:val="nil"/>
              <w:bottom w:val="nil"/>
            </w:tcBorders>
            <w:shd w:val="clear" w:color="auto" w:fill="B6DDE8"/>
            <w:vAlign w:val="center"/>
          </w:tcPr>
          <w:p>
            <w:pPr>
              <w:spacing w:line="320" w:lineRule="exact"/>
              <w:jc w:val="center"/>
              <w:rPr>
                <w:sz w:val="18"/>
                <w:szCs w:val="18"/>
              </w:rPr>
            </w:pPr>
            <w:r>
              <w:rPr>
                <w:sz w:val="18"/>
                <w:szCs w:val="18"/>
              </w:rPr>
              <w:t>中等程度相关</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97" w:hRule="exact"/>
          <w:jc w:val="center"/>
        </w:trPr>
        <w:tc>
          <w:tcPr>
            <w:tcW w:w="4075" w:type="dxa"/>
            <w:tcBorders>
              <w:top w:val="nil"/>
              <w:bottom w:val="nil"/>
              <w:right w:val="nil"/>
            </w:tcBorders>
            <w:vAlign w:val="center"/>
          </w:tcPr>
          <w:p>
            <w:pPr>
              <w:spacing w:line="320" w:lineRule="exact"/>
              <w:jc w:val="center"/>
              <w:rPr>
                <w:sz w:val="18"/>
                <w:szCs w:val="18"/>
              </w:rPr>
            </w:pPr>
            <w:r>
              <w:rPr>
                <w:sz w:val="18"/>
                <w:szCs w:val="18"/>
              </w:rPr>
              <w:t>0.2&lt; |R| &lt;0.4</w:t>
            </w:r>
          </w:p>
        </w:tc>
        <w:tc>
          <w:tcPr>
            <w:tcW w:w="4299" w:type="dxa"/>
            <w:tcBorders>
              <w:top w:val="nil"/>
              <w:left w:val="nil"/>
              <w:bottom w:val="nil"/>
            </w:tcBorders>
            <w:vAlign w:val="center"/>
          </w:tcPr>
          <w:p>
            <w:pPr>
              <w:spacing w:line="320" w:lineRule="exact"/>
              <w:jc w:val="center"/>
              <w:rPr>
                <w:sz w:val="18"/>
                <w:szCs w:val="18"/>
              </w:rPr>
            </w:pPr>
            <w:r>
              <w:rPr>
                <w:sz w:val="18"/>
                <w:szCs w:val="18"/>
              </w:rPr>
              <w:t>弱相关</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97" w:hRule="exact"/>
          <w:jc w:val="center"/>
        </w:trPr>
        <w:tc>
          <w:tcPr>
            <w:tcW w:w="4075" w:type="dxa"/>
            <w:tcBorders>
              <w:top w:val="nil"/>
              <w:bottom w:val="single" w:color="31849B" w:sz="12" w:space="0"/>
              <w:right w:val="nil"/>
            </w:tcBorders>
            <w:shd w:val="clear" w:color="auto" w:fill="B6DDE8"/>
            <w:vAlign w:val="center"/>
          </w:tcPr>
          <w:p>
            <w:pPr>
              <w:spacing w:line="320" w:lineRule="exact"/>
              <w:jc w:val="center"/>
              <w:rPr>
                <w:sz w:val="18"/>
                <w:szCs w:val="18"/>
              </w:rPr>
            </w:pPr>
            <w:r>
              <w:rPr>
                <w:sz w:val="18"/>
                <w:szCs w:val="18"/>
              </w:rPr>
              <w:t>0.0&lt; |R| &lt;0.2</w:t>
            </w:r>
          </w:p>
        </w:tc>
        <w:tc>
          <w:tcPr>
            <w:tcW w:w="4299" w:type="dxa"/>
            <w:tcBorders>
              <w:top w:val="nil"/>
              <w:left w:val="nil"/>
              <w:bottom w:val="single" w:color="31849B" w:sz="12" w:space="0"/>
            </w:tcBorders>
            <w:shd w:val="clear" w:color="auto" w:fill="B6DDE8"/>
            <w:vAlign w:val="center"/>
          </w:tcPr>
          <w:p>
            <w:pPr>
              <w:spacing w:line="320" w:lineRule="exact"/>
              <w:jc w:val="center"/>
              <w:rPr>
                <w:sz w:val="18"/>
                <w:szCs w:val="18"/>
              </w:rPr>
            </w:pPr>
            <w:r>
              <w:rPr>
                <w:sz w:val="18"/>
                <w:szCs w:val="18"/>
              </w:rPr>
              <w:t>极弱相关或不相关</w:t>
            </w:r>
          </w:p>
        </w:tc>
      </w:tr>
    </w:tbl>
    <w:p>
      <w:pPr>
        <w:spacing w:line="320" w:lineRule="exact"/>
        <w:rPr>
          <w:szCs w:val="21"/>
        </w:rPr>
        <w:sectPr>
          <w:headerReference r:id="rId11" w:type="first"/>
          <w:footerReference r:id="rId13" w:type="first"/>
          <w:headerReference r:id="rId10" w:type="default"/>
          <w:footerReference r:id="rId12" w:type="default"/>
          <w:type w:val="continuous"/>
          <w:pgSz w:w="11906" w:h="16838"/>
          <w:pgMar w:top="1418" w:right="1644" w:bottom="1418" w:left="1644" w:header="851" w:footer="850" w:gutter="0"/>
          <w:cols w:space="720" w:num="1"/>
          <w:titlePg/>
          <w:docGrid w:linePitch="326" w:charSpace="0"/>
        </w:sectPr>
      </w:pPr>
      <w:bookmarkStart w:id="33" w:name="_Toc417832556"/>
    </w:p>
    <w:p>
      <w:pPr>
        <w:pStyle w:val="2"/>
        <w:numPr>
          <w:ilvl w:val="0"/>
          <w:numId w:val="5"/>
        </w:numPr>
        <w:spacing w:beforeLines="100" w:afterLines="100" w:line="320" w:lineRule="exact"/>
        <w:jc w:val="center"/>
        <w:rPr>
          <w:rFonts w:ascii="Times New Roman" w:hAnsi="Times New Roman" w:eastAsia="黑体" w:cs="Times New Roman"/>
          <w:b w:val="0"/>
          <w:sz w:val="28"/>
          <w:szCs w:val="28"/>
        </w:rPr>
      </w:pPr>
      <w:bookmarkStart w:id="34" w:name="_Toc421887790"/>
      <w:r>
        <w:rPr>
          <w:rFonts w:ascii="Times New Roman" w:hAnsi="黑体" w:eastAsia="黑体" w:cs="Times New Roman"/>
          <w:b w:val="0"/>
          <w:sz w:val="28"/>
          <w:szCs w:val="28"/>
        </w:rPr>
        <w:t>结果</w:t>
      </w:r>
      <w:bookmarkEnd w:id="33"/>
      <w:r>
        <w:rPr>
          <w:rFonts w:ascii="Times New Roman" w:hAnsi="黑体" w:eastAsia="黑体" w:cs="Times New Roman"/>
          <w:b w:val="0"/>
          <w:sz w:val="28"/>
          <w:szCs w:val="28"/>
        </w:rPr>
        <w:t>与讨论</w:t>
      </w:r>
      <w:bookmarkEnd w:id="34"/>
    </w:p>
    <w:p>
      <w:pPr>
        <w:pStyle w:val="58"/>
        <w:spacing w:before="120" w:after="120" w:line="320" w:lineRule="exact"/>
        <w:ind w:hanging="420"/>
        <w:rPr>
          <w:rFonts w:eastAsia="宋体"/>
          <w:sz w:val="24"/>
          <w:szCs w:val="24"/>
        </w:rPr>
      </w:pPr>
      <w:bookmarkStart w:id="35" w:name="_Toc421887791"/>
      <w:bookmarkStart w:id="36" w:name="_Toc417832557"/>
      <w:r>
        <w:rPr>
          <w:rFonts w:eastAsia="宋体"/>
          <w:sz w:val="24"/>
          <w:szCs w:val="24"/>
        </w:rPr>
        <w:t>结果分析</w:t>
      </w:r>
      <w:bookmarkEnd w:id="35"/>
    </w:p>
    <w:p>
      <w:pPr>
        <w:pStyle w:val="60"/>
        <w:numPr>
          <w:ilvl w:val="0"/>
          <w:numId w:val="7"/>
        </w:numPr>
        <w:spacing w:before="120" w:after="120" w:line="320" w:lineRule="exact"/>
        <w:ind w:left="840" w:leftChars="200"/>
        <w:rPr>
          <w:rFonts w:eastAsia="宋体"/>
          <w:b w:val="0"/>
          <w:sz w:val="21"/>
          <w:szCs w:val="21"/>
        </w:rPr>
      </w:pPr>
      <w:bookmarkStart w:id="37" w:name="_Toc421887792"/>
      <w:r>
        <w:rPr>
          <w:rFonts w:eastAsia="仿宋_GB2312"/>
          <w:b w:val="0"/>
          <w:bCs w:val="0"/>
          <w:sz w:val="24"/>
          <w:szCs w:val="24"/>
        </w:rPr>
        <w:t>基础理化性质</w:t>
      </w:r>
      <w:bookmarkEnd w:id="36"/>
      <w:r>
        <w:rPr>
          <w:rFonts w:eastAsia="仿宋_GB2312"/>
          <w:b w:val="0"/>
          <w:bCs w:val="0"/>
          <w:sz w:val="24"/>
          <w:szCs w:val="24"/>
        </w:rPr>
        <w:t>指标的测定结果</w:t>
      </w:r>
      <w:bookmarkEnd w:id="37"/>
      <w:r>
        <w:rPr>
          <w:rFonts w:eastAsia="仿宋_GB2312"/>
          <w:b w:val="0"/>
          <w:bCs w:val="0"/>
          <w:sz w:val="24"/>
          <w:szCs w:val="24"/>
        </w:rPr>
        <w:t xml:space="preserve"> </w:t>
      </w:r>
    </w:p>
    <w:p>
      <w:pPr>
        <w:pStyle w:val="41"/>
        <w:spacing w:line="320" w:lineRule="exact"/>
        <w:rPr>
          <w:szCs w:val="21"/>
        </w:rPr>
      </w:pPr>
      <w:r>
        <w:rPr>
          <w:szCs w:val="21"/>
        </w:rPr>
        <w:t>土壤理化因素决定土壤微生物的生存环境，理化因素的变化势必会影响到土壤微生物群落的稳定性。为了研究土壤理化性质对于土壤生物功能稳定性的影响，本实验对全国24种土壤样品进行理化性质的测定。</w:t>
      </w:r>
    </w:p>
    <w:p>
      <w:pPr>
        <w:pStyle w:val="60"/>
        <w:spacing w:before="120" w:after="120" w:line="320" w:lineRule="exact"/>
        <w:ind w:left="840" w:leftChars="200"/>
        <w:jc w:val="left"/>
        <w:rPr>
          <w:rFonts w:eastAsia="宋体"/>
          <w:b w:val="0"/>
          <w:sz w:val="21"/>
          <w:szCs w:val="21"/>
        </w:rPr>
      </w:pPr>
      <w:bookmarkStart w:id="38" w:name="_Toc417832558"/>
      <w:bookmarkStart w:id="39" w:name="_Toc421887793"/>
      <w:r>
        <w:rPr>
          <w:rFonts w:eastAsia="宋体"/>
          <w:b w:val="0"/>
          <w:sz w:val="21"/>
          <w:szCs w:val="21"/>
        </w:rPr>
        <w:t>pH</w:t>
      </w:r>
      <w:bookmarkEnd w:id="38"/>
      <w:bookmarkEnd w:id="39"/>
    </w:p>
    <w:p>
      <w:pPr>
        <w:spacing w:line="320" w:lineRule="exact"/>
        <w:ind w:firstLine="420" w:firstLineChars="200"/>
        <w:rPr>
          <w:szCs w:val="21"/>
        </w:rPr>
      </w:pPr>
      <w:r>
        <w:rPr>
          <w:szCs w:val="21"/>
        </w:rPr>
        <w:t>根据土壤酸碱度等级划分标准（</w:t>
      </w:r>
      <w:r>
        <w:fldChar w:fldCharType="begin"/>
      </w:r>
      <w:r>
        <w:instrText xml:space="preserve">HYPERLINK "http://www.tdzyw.com/2010/0726/ 1007.html" </w:instrText>
      </w:r>
      <w:r>
        <w:fldChar w:fldCharType="separate"/>
      </w:r>
      <w:r>
        <w:rPr>
          <w:rStyle w:val="36"/>
          <w:szCs w:val="21"/>
        </w:rPr>
        <w:t>http://www.tdzyw.com/2010/0726/1007.html</w:t>
      </w:r>
      <w:r>
        <w:fldChar w:fldCharType="end"/>
      </w:r>
      <w:r>
        <w:rPr>
          <w:szCs w:val="21"/>
        </w:rPr>
        <w:t>）对土壤样品进行划分，结果见表3。本研究中24种土样的pH范围为4.54-8.56，其最小和最大值分别对应S18和S11。</w:t>
      </w:r>
    </w:p>
    <w:p>
      <w:pPr>
        <w:tabs>
          <w:tab w:val="left" w:pos="2325"/>
        </w:tabs>
        <w:spacing w:beforeLines="50" w:afterLines="50" w:line="320" w:lineRule="exact"/>
        <w:jc w:val="center"/>
        <w:rPr>
          <w:sz w:val="18"/>
          <w:szCs w:val="18"/>
        </w:rPr>
      </w:pPr>
      <w:r>
        <w:rPr>
          <w:sz w:val="18"/>
          <w:szCs w:val="18"/>
        </w:rPr>
        <w:t>表3 土壤的酸碱度划分</w:t>
      </w:r>
    </w:p>
    <w:tbl>
      <w:tblPr>
        <w:tblStyle w:val="39"/>
        <w:tblW w:w="7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77"/>
        <w:gridCol w:w="60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777" w:type="dxa"/>
            <w:tcBorders>
              <w:top w:val="single" w:color="31849B" w:sz="12" w:space="0"/>
              <w:bottom w:val="single" w:color="31849B" w:sz="12" w:space="0"/>
              <w:right w:val="single" w:color="31849B" w:sz="4" w:space="0"/>
            </w:tcBorders>
            <w:vAlign w:val="center"/>
          </w:tcPr>
          <w:p>
            <w:pPr>
              <w:spacing w:line="320" w:lineRule="exact"/>
              <w:jc w:val="center"/>
              <w:rPr>
                <w:b/>
                <w:bCs/>
                <w:sz w:val="18"/>
                <w:szCs w:val="18"/>
              </w:rPr>
            </w:pPr>
            <w:r>
              <w:rPr>
                <w:b/>
                <w:bCs/>
                <w:sz w:val="18"/>
                <w:szCs w:val="18"/>
              </w:rPr>
              <w:t>酸碱度</w:t>
            </w:r>
          </w:p>
        </w:tc>
        <w:tc>
          <w:tcPr>
            <w:tcW w:w="6033" w:type="dxa"/>
            <w:tcBorders>
              <w:top w:val="single" w:color="31849B" w:sz="12" w:space="0"/>
              <w:left w:val="single" w:color="31849B" w:sz="4" w:space="0"/>
              <w:bottom w:val="single" w:color="31849B" w:sz="12" w:space="0"/>
            </w:tcBorders>
            <w:vAlign w:val="center"/>
          </w:tcPr>
          <w:p>
            <w:pPr>
              <w:spacing w:line="320" w:lineRule="exact"/>
              <w:jc w:val="center"/>
              <w:rPr>
                <w:b/>
                <w:bCs/>
                <w:sz w:val="18"/>
                <w:szCs w:val="18"/>
              </w:rPr>
            </w:pPr>
            <w:r>
              <w:rPr>
                <w:b/>
                <w:bCs/>
                <w:sz w:val="18"/>
                <w:szCs w:val="18"/>
              </w:rPr>
              <w:t>土壤样品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777" w:type="dxa"/>
            <w:tcBorders>
              <w:top w:val="single" w:color="31849B" w:sz="12" w:space="0"/>
              <w:right w:val="single" w:color="31849B" w:sz="4" w:space="0"/>
            </w:tcBorders>
            <w:shd w:val="clear" w:color="auto" w:fill="B6DDE8"/>
            <w:vAlign w:val="center"/>
          </w:tcPr>
          <w:p>
            <w:pPr>
              <w:spacing w:line="320" w:lineRule="exact"/>
              <w:jc w:val="center"/>
              <w:rPr>
                <w:sz w:val="18"/>
                <w:szCs w:val="18"/>
              </w:rPr>
            </w:pPr>
            <w:r>
              <w:rPr>
                <w:sz w:val="18"/>
                <w:szCs w:val="18"/>
              </w:rPr>
              <w:t>强酸性</w:t>
            </w:r>
          </w:p>
        </w:tc>
        <w:tc>
          <w:tcPr>
            <w:tcW w:w="6033" w:type="dxa"/>
            <w:tcBorders>
              <w:top w:val="single" w:color="31849B" w:sz="12" w:space="0"/>
              <w:left w:val="single" w:color="31849B" w:sz="4" w:space="0"/>
            </w:tcBorders>
            <w:shd w:val="clear" w:color="auto" w:fill="B6DDE8"/>
            <w:vAlign w:val="center"/>
          </w:tcPr>
          <w:p>
            <w:pPr>
              <w:spacing w:line="320" w:lineRule="exact"/>
              <w:jc w:val="center"/>
              <w:rPr>
                <w:sz w:val="18"/>
                <w:szCs w:val="18"/>
              </w:rPr>
            </w:pPr>
            <w:r>
              <w:rPr>
                <w:sz w:val="18"/>
                <w:szCs w:val="18"/>
              </w:rPr>
              <w:t>S18/ S20/ S21/ S23/ S24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777" w:type="dxa"/>
            <w:tcBorders>
              <w:right w:val="single" w:color="31849B" w:sz="4" w:space="0"/>
            </w:tcBorders>
            <w:shd w:val="clear" w:color="auto" w:fill="FFFFFF"/>
            <w:vAlign w:val="center"/>
          </w:tcPr>
          <w:p>
            <w:pPr>
              <w:spacing w:line="320" w:lineRule="exact"/>
              <w:jc w:val="center"/>
              <w:rPr>
                <w:sz w:val="18"/>
                <w:szCs w:val="18"/>
              </w:rPr>
            </w:pPr>
            <w:r>
              <w:rPr>
                <w:sz w:val="18"/>
                <w:szCs w:val="18"/>
              </w:rPr>
              <w:t>中性</w:t>
            </w:r>
          </w:p>
        </w:tc>
        <w:tc>
          <w:tcPr>
            <w:tcW w:w="6033" w:type="dxa"/>
            <w:tcBorders>
              <w:left w:val="single" w:color="31849B" w:sz="4" w:space="0"/>
            </w:tcBorders>
            <w:shd w:val="clear" w:color="auto" w:fill="FFFFFF"/>
            <w:vAlign w:val="center"/>
          </w:tcPr>
          <w:p>
            <w:pPr>
              <w:spacing w:line="320" w:lineRule="exact"/>
              <w:jc w:val="center"/>
              <w:rPr>
                <w:sz w:val="18"/>
                <w:szCs w:val="18"/>
              </w:rPr>
            </w:pPr>
            <w:r>
              <w:rPr>
                <w:sz w:val="18"/>
                <w:szCs w:val="18"/>
              </w:rPr>
              <w:t>S1/ S14/ S17/ S22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777" w:type="dxa"/>
            <w:tcBorders>
              <w:right w:val="single" w:color="31849B" w:sz="4" w:space="0"/>
            </w:tcBorders>
            <w:shd w:val="clear" w:color="auto" w:fill="B6DDE8"/>
            <w:vAlign w:val="center"/>
          </w:tcPr>
          <w:p>
            <w:pPr>
              <w:spacing w:line="320" w:lineRule="exact"/>
              <w:jc w:val="center"/>
              <w:rPr>
                <w:sz w:val="18"/>
                <w:szCs w:val="18"/>
              </w:rPr>
            </w:pPr>
            <w:r>
              <w:rPr>
                <w:sz w:val="18"/>
                <w:szCs w:val="18"/>
              </w:rPr>
              <w:t>碱性</w:t>
            </w:r>
          </w:p>
        </w:tc>
        <w:tc>
          <w:tcPr>
            <w:tcW w:w="6033" w:type="dxa"/>
            <w:tcBorders>
              <w:left w:val="single" w:color="31849B" w:sz="4" w:space="0"/>
            </w:tcBorders>
            <w:shd w:val="clear" w:color="auto" w:fill="B6DDE8"/>
            <w:vAlign w:val="center"/>
          </w:tcPr>
          <w:p>
            <w:pPr>
              <w:spacing w:line="320" w:lineRule="exact"/>
              <w:jc w:val="center"/>
              <w:rPr>
                <w:sz w:val="18"/>
                <w:szCs w:val="18"/>
              </w:rPr>
            </w:pPr>
            <w:r>
              <w:rPr>
                <w:sz w:val="18"/>
                <w:szCs w:val="18"/>
              </w:rPr>
              <w:t>S2/ S3/ S4/ S5/ S6/ S7/ S8/ S9/ S10/ S11/ S12/S13/ S15/ S16/ S19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777" w:type="dxa"/>
            <w:tcBorders>
              <w:bottom w:val="single" w:color="31849B" w:sz="12" w:space="0"/>
              <w:right w:val="single" w:color="31849B" w:sz="4" w:space="0"/>
            </w:tcBorders>
            <w:shd w:val="clear" w:color="auto" w:fill="FFFFFF"/>
            <w:vAlign w:val="center"/>
          </w:tcPr>
          <w:p>
            <w:pPr>
              <w:spacing w:line="320" w:lineRule="exact"/>
              <w:jc w:val="center"/>
              <w:rPr>
                <w:sz w:val="18"/>
                <w:szCs w:val="18"/>
              </w:rPr>
            </w:pPr>
            <w:r>
              <w:rPr>
                <w:sz w:val="18"/>
                <w:szCs w:val="18"/>
              </w:rPr>
              <w:t>强碱性</w:t>
            </w:r>
          </w:p>
        </w:tc>
        <w:tc>
          <w:tcPr>
            <w:tcW w:w="6033" w:type="dxa"/>
            <w:tcBorders>
              <w:left w:val="single" w:color="31849B" w:sz="4" w:space="0"/>
              <w:bottom w:val="single" w:color="31849B" w:sz="12" w:space="0"/>
            </w:tcBorders>
            <w:shd w:val="clear" w:color="auto" w:fill="FFFFFF"/>
            <w:vAlign w:val="center"/>
          </w:tcPr>
          <w:p>
            <w:pPr>
              <w:spacing w:line="320" w:lineRule="exact"/>
              <w:jc w:val="center"/>
              <w:rPr>
                <w:sz w:val="18"/>
                <w:szCs w:val="18"/>
              </w:rPr>
            </w:pPr>
            <w:r>
              <w:rPr>
                <w:sz w:val="18"/>
                <w:szCs w:val="18"/>
              </w:rPr>
              <w:t>S11</w:t>
            </w:r>
          </w:p>
        </w:tc>
      </w:tr>
    </w:tbl>
    <w:p>
      <w:pPr>
        <w:pStyle w:val="60"/>
        <w:spacing w:before="120" w:after="120" w:line="320" w:lineRule="exact"/>
        <w:ind w:left="840" w:leftChars="200"/>
        <w:jc w:val="left"/>
        <w:rPr>
          <w:rFonts w:eastAsia="宋体"/>
          <w:b w:val="0"/>
          <w:sz w:val="21"/>
          <w:szCs w:val="21"/>
        </w:rPr>
      </w:pPr>
      <w:bookmarkStart w:id="40" w:name="_Toc417832559"/>
      <w:bookmarkStart w:id="41" w:name="_Toc421887794"/>
      <w:r>
        <w:rPr>
          <w:rFonts w:eastAsia="宋体"/>
          <w:b w:val="0"/>
          <w:sz w:val="21"/>
          <w:szCs w:val="21"/>
        </w:rPr>
        <w:t>土壤粒径</w:t>
      </w:r>
      <w:bookmarkEnd w:id="40"/>
      <w:bookmarkEnd w:id="41"/>
    </w:p>
    <w:p>
      <w:pPr>
        <w:spacing w:line="320" w:lineRule="exact"/>
        <w:ind w:firstLine="420" w:firstLineChars="200"/>
        <w:rPr>
          <w:szCs w:val="21"/>
        </w:rPr>
      </w:pPr>
      <w:r>
        <w:rPr>
          <w:szCs w:val="21"/>
        </w:rPr>
        <w:t>根据国际制土壤粒径分级标准（</w:t>
      </w:r>
      <w:r>
        <w:fldChar w:fldCharType="begin"/>
      </w:r>
      <w:r>
        <w:instrText xml:space="preserve">HYPERLINK "http://www.cqates.com/cqsoil/gjztr zdfjbz.htm" </w:instrText>
      </w:r>
      <w:r>
        <w:fldChar w:fldCharType="separate"/>
      </w:r>
      <w:r>
        <w:rPr>
          <w:rStyle w:val="36"/>
          <w:szCs w:val="21"/>
        </w:rPr>
        <w:t>http://www.cqates.com/cqsoil/gjztrzdfjbz.htm</w:t>
      </w:r>
      <w:r>
        <w:fldChar w:fldCharType="end"/>
      </w:r>
      <w:r>
        <w:rPr>
          <w:szCs w:val="21"/>
        </w:rPr>
        <w:t xml:space="preserve">）对本研究所选用的24种土样进行质地分类，结果见表4。土壤样品质地类型多样，具有一定代表性。 </w:t>
      </w:r>
    </w:p>
    <w:p>
      <w:pPr>
        <w:spacing w:beforeLines="50" w:afterLines="50" w:line="320" w:lineRule="exact"/>
        <w:jc w:val="center"/>
        <w:rPr>
          <w:sz w:val="18"/>
          <w:szCs w:val="18"/>
        </w:rPr>
      </w:pPr>
      <w:r>
        <w:rPr>
          <w:sz w:val="18"/>
          <w:szCs w:val="18"/>
        </w:rPr>
        <w:t>表4 土壤的质地分类</w:t>
      </w:r>
    </w:p>
    <w:tbl>
      <w:tblPr>
        <w:tblStyle w:val="39"/>
        <w:tblW w:w="6324" w:type="dxa"/>
        <w:jc w:val="center"/>
        <w:tblInd w:w="741" w:type="dxa"/>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8"/>
        <w:gridCol w:w="3476"/>
      </w:tblGrid>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top w:val="single" w:color="31849B" w:sz="12" w:space="0"/>
              <w:left w:val="nil"/>
              <w:bottom w:val="single" w:color="31849B" w:sz="12" w:space="0"/>
              <w:right w:val="nil"/>
            </w:tcBorders>
            <w:vAlign w:val="center"/>
          </w:tcPr>
          <w:p>
            <w:pPr>
              <w:spacing w:line="320" w:lineRule="exact"/>
              <w:jc w:val="center"/>
              <w:rPr>
                <w:b/>
                <w:bCs/>
                <w:sz w:val="18"/>
                <w:szCs w:val="18"/>
              </w:rPr>
            </w:pPr>
            <w:r>
              <w:rPr>
                <w:b/>
                <w:bCs/>
                <w:sz w:val="18"/>
                <w:szCs w:val="18"/>
              </w:rPr>
              <w:t>土壤质地</w:t>
            </w:r>
          </w:p>
        </w:tc>
        <w:tc>
          <w:tcPr>
            <w:tcW w:w="3476" w:type="dxa"/>
            <w:tcBorders>
              <w:top w:val="single" w:color="31849B" w:sz="12" w:space="0"/>
              <w:left w:val="nil"/>
              <w:bottom w:val="single" w:color="31849B" w:sz="12" w:space="0"/>
              <w:right w:val="nil"/>
            </w:tcBorders>
            <w:vAlign w:val="center"/>
          </w:tcPr>
          <w:p>
            <w:pPr>
              <w:spacing w:line="320" w:lineRule="exact"/>
              <w:jc w:val="center"/>
              <w:rPr>
                <w:b/>
                <w:bCs/>
                <w:sz w:val="18"/>
                <w:szCs w:val="18"/>
              </w:rPr>
            </w:pPr>
            <w:r>
              <w:rPr>
                <w:b/>
                <w:bCs/>
                <w:sz w:val="18"/>
                <w:szCs w:val="18"/>
              </w:rPr>
              <w:t>土壤样品</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top w:val="single" w:color="31849B" w:sz="12" w:space="0"/>
              <w:left w:val="nil"/>
              <w:bottom w:val="nil"/>
              <w:right w:val="nil"/>
            </w:tcBorders>
            <w:shd w:val="clear" w:color="auto" w:fill="B6DDE8"/>
            <w:vAlign w:val="center"/>
          </w:tcPr>
          <w:p>
            <w:pPr>
              <w:spacing w:line="320" w:lineRule="exact"/>
              <w:jc w:val="center"/>
              <w:rPr>
                <w:b/>
                <w:bCs/>
                <w:sz w:val="18"/>
                <w:szCs w:val="18"/>
              </w:rPr>
            </w:pPr>
            <w:r>
              <w:rPr>
                <w:sz w:val="18"/>
                <w:szCs w:val="18"/>
              </w:rPr>
              <w:t>沙质壤土</w:t>
            </w:r>
          </w:p>
        </w:tc>
        <w:tc>
          <w:tcPr>
            <w:tcW w:w="3476" w:type="dxa"/>
            <w:tcBorders>
              <w:top w:val="single" w:color="31849B" w:sz="12" w:space="0"/>
              <w:left w:val="nil"/>
              <w:bottom w:val="nil"/>
              <w:right w:val="nil"/>
            </w:tcBorders>
            <w:shd w:val="clear" w:color="auto" w:fill="B6DDE8"/>
            <w:vAlign w:val="center"/>
          </w:tcPr>
          <w:p>
            <w:pPr>
              <w:spacing w:line="320" w:lineRule="exact"/>
              <w:jc w:val="center"/>
              <w:rPr>
                <w:sz w:val="18"/>
                <w:szCs w:val="18"/>
              </w:rPr>
            </w:pPr>
            <w:r>
              <w:rPr>
                <w:sz w:val="18"/>
                <w:szCs w:val="18"/>
              </w:rPr>
              <w:t>S1/S2/S6/S9/S16</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top w:val="nil"/>
            </w:tcBorders>
            <w:vAlign w:val="center"/>
          </w:tcPr>
          <w:p>
            <w:pPr>
              <w:spacing w:line="320" w:lineRule="exact"/>
              <w:jc w:val="center"/>
              <w:rPr>
                <w:b/>
                <w:bCs/>
                <w:sz w:val="18"/>
                <w:szCs w:val="18"/>
              </w:rPr>
            </w:pPr>
            <w:r>
              <w:rPr>
                <w:sz w:val="18"/>
                <w:szCs w:val="18"/>
              </w:rPr>
              <w:t>沙质黏壤土</w:t>
            </w:r>
          </w:p>
        </w:tc>
        <w:tc>
          <w:tcPr>
            <w:tcW w:w="3476" w:type="dxa"/>
            <w:tcBorders>
              <w:top w:val="nil"/>
              <w:left w:val="nil"/>
              <w:bottom w:val="nil"/>
              <w:right w:val="nil"/>
            </w:tcBorders>
            <w:vAlign w:val="center"/>
          </w:tcPr>
          <w:p>
            <w:pPr>
              <w:spacing w:line="320" w:lineRule="exact"/>
              <w:jc w:val="center"/>
              <w:rPr>
                <w:sz w:val="18"/>
                <w:szCs w:val="18"/>
              </w:rPr>
            </w:pPr>
            <w:r>
              <w:rPr>
                <w:sz w:val="18"/>
                <w:szCs w:val="18"/>
              </w:rPr>
              <w:t>S3/S4/S18</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left w:val="nil"/>
              <w:right w:val="nil"/>
            </w:tcBorders>
            <w:shd w:val="clear" w:color="auto" w:fill="B6DDE8"/>
            <w:vAlign w:val="center"/>
          </w:tcPr>
          <w:p>
            <w:pPr>
              <w:spacing w:line="320" w:lineRule="exact"/>
              <w:jc w:val="center"/>
              <w:rPr>
                <w:b/>
                <w:bCs/>
                <w:sz w:val="18"/>
                <w:szCs w:val="18"/>
              </w:rPr>
            </w:pPr>
            <w:r>
              <w:rPr>
                <w:sz w:val="18"/>
                <w:szCs w:val="18"/>
              </w:rPr>
              <w:t>粉沙质黏壤土</w:t>
            </w:r>
          </w:p>
        </w:tc>
        <w:tc>
          <w:tcPr>
            <w:tcW w:w="3476" w:type="dxa"/>
            <w:tcBorders>
              <w:left w:val="nil"/>
              <w:bottom w:val="nil"/>
              <w:right w:val="nil"/>
            </w:tcBorders>
            <w:shd w:val="clear" w:color="auto" w:fill="B6DDE8"/>
            <w:vAlign w:val="center"/>
          </w:tcPr>
          <w:p>
            <w:pPr>
              <w:spacing w:line="320" w:lineRule="exact"/>
              <w:jc w:val="center"/>
              <w:rPr>
                <w:sz w:val="18"/>
                <w:szCs w:val="18"/>
              </w:rPr>
            </w:pPr>
            <w:r>
              <w:rPr>
                <w:sz w:val="18"/>
                <w:szCs w:val="18"/>
              </w:rPr>
              <w:t>S5/S12/S13/S14</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vAlign w:val="center"/>
          </w:tcPr>
          <w:p>
            <w:pPr>
              <w:spacing w:line="320" w:lineRule="exact"/>
              <w:jc w:val="center"/>
              <w:rPr>
                <w:b/>
                <w:bCs/>
                <w:sz w:val="18"/>
                <w:szCs w:val="18"/>
              </w:rPr>
            </w:pPr>
            <w:r>
              <w:rPr>
                <w:sz w:val="18"/>
                <w:szCs w:val="18"/>
              </w:rPr>
              <w:t>粉沙质壤土</w:t>
            </w:r>
          </w:p>
        </w:tc>
        <w:tc>
          <w:tcPr>
            <w:tcW w:w="3476" w:type="dxa"/>
            <w:tcBorders>
              <w:left w:val="nil"/>
              <w:bottom w:val="nil"/>
              <w:right w:val="nil"/>
            </w:tcBorders>
            <w:vAlign w:val="center"/>
          </w:tcPr>
          <w:p>
            <w:pPr>
              <w:spacing w:line="320" w:lineRule="exact"/>
              <w:jc w:val="center"/>
              <w:rPr>
                <w:sz w:val="18"/>
                <w:szCs w:val="18"/>
              </w:rPr>
            </w:pPr>
            <w:r>
              <w:rPr>
                <w:sz w:val="18"/>
                <w:szCs w:val="18"/>
              </w:rPr>
              <w:t>S7/S8/S11</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left w:val="nil"/>
              <w:right w:val="nil"/>
            </w:tcBorders>
            <w:shd w:val="clear" w:color="auto" w:fill="B6DDE8"/>
            <w:vAlign w:val="center"/>
          </w:tcPr>
          <w:p>
            <w:pPr>
              <w:spacing w:line="320" w:lineRule="exact"/>
              <w:jc w:val="center"/>
              <w:rPr>
                <w:b/>
                <w:bCs/>
                <w:sz w:val="18"/>
                <w:szCs w:val="18"/>
              </w:rPr>
            </w:pPr>
            <w:r>
              <w:rPr>
                <w:sz w:val="18"/>
                <w:szCs w:val="18"/>
              </w:rPr>
              <w:t>黏壤土</w:t>
            </w:r>
          </w:p>
        </w:tc>
        <w:tc>
          <w:tcPr>
            <w:tcW w:w="3476" w:type="dxa"/>
            <w:tcBorders>
              <w:left w:val="nil"/>
              <w:bottom w:val="nil"/>
              <w:right w:val="nil"/>
            </w:tcBorders>
            <w:shd w:val="clear" w:color="auto" w:fill="B6DDE8"/>
            <w:vAlign w:val="center"/>
          </w:tcPr>
          <w:p>
            <w:pPr>
              <w:spacing w:line="320" w:lineRule="exact"/>
              <w:jc w:val="center"/>
              <w:rPr>
                <w:sz w:val="18"/>
                <w:szCs w:val="18"/>
              </w:rPr>
            </w:pPr>
            <w:r>
              <w:rPr>
                <w:sz w:val="18"/>
                <w:szCs w:val="18"/>
              </w:rPr>
              <w:t>S10/S15/S20</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bottom w:val="nil"/>
            </w:tcBorders>
            <w:vAlign w:val="center"/>
          </w:tcPr>
          <w:p>
            <w:pPr>
              <w:spacing w:line="320" w:lineRule="exact"/>
              <w:jc w:val="center"/>
              <w:rPr>
                <w:b/>
                <w:bCs/>
                <w:sz w:val="18"/>
                <w:szCs w:val="18"/>
              </w:rPr>
            </w:pPr>
            <w:r>
              <w:rPr>
                <w:sz w:val="18"/>
                <w:szCs w:val="18"/>
              </w:rPr>
              <w:t>壤质黏土</w:t>
            </w:r>
          </w:p>
        </w:tc>
        <w:tc>
          <w:tcPr>
            <w:tcW w:w="3476" w:type="dxa"/>
            <w:tcBorders>
              <w:left w:val="nil"/>
              <w:bottom w:val="nil"/>
              <w:right w:val="nil"/>
            </w:tcBorders>
            <w:vAlign w:val="center"/>
          </w:tcPr>
          <w:p>
            <w:pPr>
              <w:spacing w:line="320" w:lineRule="exact"/>
              <w:jc w:val="center"/>
              <w:rPr>
                <w:sz w:val="18"/>
                <w:szCs w:val="18"/>
              </w:rPr>
            </w:pPr>
            <w:r>
              <w:rPr>
                <w:sz w:val="18"/>
                <w:szCs w:val="18"/>
              </w:rPr>
              <w:t>S17/S19/S21/S23</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top w:val="nil"/>
              <w:left w:val="nil"/>
              <w:bottom w:val="nil"/>
              <w:right w:val="nil"/>
            </w:tcBorders>
            <w:shd w:val="clear" w:color="auto" w:fill="B6DDE8"/>
            <w:vAlign w:val="center"/>
          </w:tcPr>
          <w:p>
            <w:pPr>
              <w:spacing w:line="320" w:lineRule="exact"/>
              <w:jc w:val="center"/>
              <w:rPr>
                <w:b/>
                <w:bCs/>
                <w:sz w:val="18"/>
                <w:szCs w:val="18"/>
              </w:rPr>
            </w:pPr>
            <w:r>
              <w:rPr>
                <w:sz w:val="18"/>
                <w:szCs w:val="18"/>
              </w:rPr>
              <w:t>粉沙质黏土</w:t>
            </w:r>
          </w:p>
        </w:tc>
        <w:tc>
          <w:tcPr>
            <w:tcW w:w="3476" w:type="dxa"/>
            <w:tcBorders>
              <w:top w:val="nil"/>
              <w:left w:val="nil"/>
              <w:bottom w:val="nil"/>
              <w:right w:val="nil"/>
            </w:tcBorders>
            <w:shd w:val="clear" w:color="auto" w:fill="B6DDE8"/>
            <w:vAlign w:val="center"/>
          </w:tcPr>
          <w:p>
            <w:pPr>
              <w:spacing w:line="320" w:lineRule="exact"/>
              <w:jc w:val="center"/>
              <w:rPr>
                <w:sz w:val="18"/>
                <w:szCs w:val="18"/>
              </w:rPr>
            </w:pPr>
            <w:r>
              <w:rPr>
                <w:sz w:val="18"/>
                <w:szCs w:val="18"/>
              </w:rPr>
              <w:t>S24</w:t>
            </w:r>
          </w:p>
        </w:tc>
      </w:tr>
      <w:tr>
        <w:tblPrEx>
          <w:tblBorders>
            <w:top w:val="single" w:color="4BACC6" w:sz="8" w:space="0"/>
            <w:left w:val="none" w:color="auto" w:sz="0" w:space="0"/>
            <w:bottom w:val="single" w:color="4BACC6"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2848" w:type="dxa"/>
            <w:tcBorders>
              <w:top w:val="nil"/>
              <w:bottom w:val="single" w:color="31849B" w:sz="12" w:space="0"/>
            </w:tcBorders>
            <w:shd w:val="clear" w:color="auto" w:fill="FFFFFF"/>
            <w:vAlign w:val="center"/>
          </w:tcPr>
          <w:p>
            <w:pPr>
              <w:spacing w:line="320" w:lineRule="exact"/>
              <w:jc w:val="center"/>
              <w:rPr>
                <w:b/>
                <w:bCs/>
                <w:sz w:val="18"/>
                <w:szCs w:val="18"/>
              </w:rPr>
            </w:pPr>
            <w:r>
              <w:rPr>
                <w:sz w:val="18"/>
                <w:szCs w:val="18"/>
              </w:rPr>
              <w:t>沙质粘土</w:t>
            </w:r>
          </w:p>
        </w:tc>
        <w:tc>
          <w:tcPr>
            <w:tcW w:w="3476" w:type="dxa"/>
            <w:tcBorders>
              <w:top w:val="nil"/>
              <w:left w:val="nil"/>
              <w:bottom w:val="single" w:color="31849B" w:sz="12" w:space="0"/>
              <w:right w:val="nil"/>
            </w:tcBorders>
            <w:shd w:val="clear" w:color="auto" w:fill="FFFFFF"/>
            <w:vAlign w:val="center"/>
          </w:tcPr>
          <w:p>
            <w:pPr>
              <w:spacing w:line="320" w:lineRule="exact"/>
              <w:jc w:val="center"/>
              <w:rPr>
                <w:sz w:val="18"/>
                <w:szCs w:val="18"/>
              </w:rPr>
            </w:pPr>
            <w:r>
              <w:rPr>
                <w:sz w:val="18"/>
                <w:szCs w:val="18"/>
              </w:rPr>
              <w:t>S22</w:t>
            </w:r>
          </w:p>
        </w:tc>
      </w:tr>
    </w:tbl>
    <w:p>
      <w:pPr>
        <w:pStyle w:val="60"/>
        <w:spacing w:before="120" w:after="120" w:line="320" w:lineRule="exact"/>
        <w:ind w:left="840" w:leftChars="200"/>
        <w:jc w:val="left"/>
        <w:rPr>
          <w:rFonts w:eastAsia="宋体"/>
          <w:b w:val="0"/>
          <w:sz w:val="21"/>
          <w:szCs w:val="21"/>
        </w:rPr>
      </w:pPr>
      <w:bookmarkStart w:id="42" w:name="_Toc417832560"/>
      <w:bookmarkStart w:id="43" w:name="_Toc421887795"/>
      <w:r>
        <w:rPr>
          <w:rFonts w:eastAsia="宋体"/>
          <w:b w:val="0"/>
          <w:sz w:val="21"/>
          <w:szCs w:val="21"/>
        </w:rPr>
        <w:t>CEC</w:t>
      </w:r>
      <w:bookmarkEnd w:id="42"/>
      <w:bookmarkEnd w:id="43"/>
    </w:p>
    <w:p>
      <w:pPr>
        <w:pStyle w:val="41"/>
        <w:spacing w:line="320" w:lineRule="exact"/>
        <w:rPr>
          <w:szCs w:val="21"/>
        </w:rPr>
      </w:pPr>
      <w:r>
        <w:rPr>
          <w:szCs w:val="21"/>
        </w:rPr>
        <w:t>土壤阳离子交换量影响</w:t>
      </w:r>
      <w:r>
        <w:fldChar w:fldCharType="begin"/>
      </w:r>
      <w:r>
        <w:instrText xml:space="preserve">HYPERLINK "http://baike.baidu.com/view/3850252.htm" \t "_blank" </w:instrText>
      </w:r>
      <w:r>
        <w:fldChar w:fldCharType="separate"/>
      </w:r>
      <w:r>
        <w:rPr>
          <w:szCs w:val="21"/>
        </w:rPr>
        <w:t>土壤缓冲能力</w:t>
      </w:r>
      <w:r>
        <w:fldChar w:fldCharType="end"/>
      </w:r>
      <w:r>
        <w:rPr>
          <w:szCs w:val="21"/>
        </w:rPr>
        <w:t>的高低，也是评价土壤保肥能力、改良土壤和合理施肥的重要依据</w:t>
      </w:r>
      <w:r>
        <w:rPr>
          <w:szCs w:val="21"/>
          <w:vertAlign w:val="superscript"/>
        </w:rPr>
        <w:t>[11]</w:t>
      </w:r>
      <w:r>
        <w:rPr>
          <w:szCs w:val="21"/>
        </w:rPr>
        <w:t>。测定结果的区间为10.32-34.33</w:t>
      </w:r>
      <w:bookmarkStart w:id="44" w:name="_Toc417832561"/>
      <w:r>
        <w:rPr>
          <w:szCs w:val="21"/>
        </w:rPr>
        <w:t>。</w:t>
      </w:r>
    </w:p>
    <w:p>
      <w:pPr>
        <w:pStyle w:val="60"/>
        <w:spacing w:before="120" w:after="120" w:line="320" w:lineRule="exact"/>
        <w:ind w:left="840" w:leftChars="200"/>
        <w:jc w:val="left"/>
        <w:rPr>
          <w:rFonts w:eastAsia="宋体"/>
          <w:b w:val="0"/>
          <w:sz w:val="21"/>
          <w:szCs w:val="21"/>
        </w:rPr>
      </w:pPr>
      <w:bookmarkStart w:id="45" w:name="_Toc421887796"/>
      <w:r>
        <w:rPr>
          <w:rFonts w:eastAsia="宋体"/>
          <w:b w:val="0"/>
          <w:sz w:val="21"/>
          <w:szCs w:val="21"/>
        </w:rPr>
        <w:t>C/N</w:t>
      </w:r>
      <w:bookmarkEnd w:id="44"/>
      <w:bookmarkEnd w:id="45"/>
    </w:p>
    <w:p>
      <w:pPr>
        <w:spacing w:afterLines="50" w:line="320" w:lineRule="exact"/>
        <w:ind w:firstLine="420" w:firstLineChars="200"/>
        <w:rPr>
          <w:szCs w:val="21"/>
        </w:rPr>
      </w:pPr>
      <w:r>
        <w:rPr>
          <w:szCs w:val="21"/>
        </w:rPr>
        <w:t>土壤有机质存在于土壤固相中</w:t>
      </w:r>
      <w:r>
        <w:rPr>
          <w:szCs w:val="21"/>
          <w:vertAlign w:val="superscript"/>
        </w:rPr>
        <w:t>[12]</w:t>
      </w:r>
      <w:r>
        <w:rPr>
          <w:szCs w:val="21"/>
        </w:rPr>
        <w:t>，土壤氮库中的氮主要以有机氮的形态存在，一般占土壤全氮量的95%以上</w:t>
      </w:r>
      <w:r>
        <w:rPr>
          <w:szCs w:val="21"/>
          <w:vertAlign w:val="superscript"/>
        </w:rPr>
        <w:t>[13]</w:t>
      </w:r>
      <w:r>
        <w:rPr>
          <w:szCs w:val="21"/>
        </w:rPr>
        <w:t>。本研究C/N保持在7.11-48.46之间，最大值和最小值分别对应S7和S16。</w:t>
      </w:r>
      <w:bookmarkStart w:id="46" w:name="_Toc417832562"/>
    </w:p>
    <w:p>
      <w:pPr>
        <w:pStyle w:val="60"/>
        <w:spacing w:before="120" w:after="120" w:line="320" w:lineRule="exact"/>
        <w:ind w:left="840" w:leftChars="200"/>
        <w:jc w:val="left"/>
        <w:rPr>
          <w:rFonts w:eastAsia="宋体"/>
          <w:b w:val="0"/>
          <w:sz w:val="21"/>
          <w:szCs w:val="21"/>
        </w:rPr>
      </w:pPr>
      <w:bookmarkStart w:id="47" w:name="_Toc421887797"/>
      <w:r>
        <w:rPr>
          <w:rFonts w:eastAsia="宋体"/>
          <w:b w:val="0"/>
          <w:sz w:val="21"/>
          <w:szCs w:val="21"/>
        </w:rPr>
        <w:t>DOC</w:t>
      </w:r>
      <w:bookmarkEnd w:id="46"/>
      <w:bookmarkEnd w:id="47"/>
    </w:p>
    <w:p>
      <w:pPr>
        <w:pStyle w:val="41"/>
        <w:spacing w:afterLines="50" w:line="320" w:lineRule="exact"/>
        <w:rPr>
          <w:szCs w:val="21"/>
        </w:rPr>
      </w:pPr>
      <w:r>
        <w:rPr>
          <w:szCs w:val="21"/>
        </w:rPr>
        <w:t>土壤DOC的含量与土壤有机质含量呈正相关，微生物活性越高，生态系统越稳定。土壤样品测定数据结果范围为11.78-66.51mg/L。</w:t>
      </w:r>
    </w:p>
    <w:p>
      <w:pPr>
        <w:pStyle w:val="60"/>
        <w:numPr>
          <w:ilvl w:val="0"/>
          <w:numId w:val="7"/>
        </w:numPr>
        <w:spacing w:before="120" w:after="120" w:line="320" w:lineRule="exact"/>
        <w:ind w:left="840" w:leftChars="200"/>
        <w:outlineLvl w:val="2"/>
        <w:rPr>
          <w:rFonts w:hint="eastAsia" w:ascii="仿宋_GB2312" w:eastAsia="仿宋_GB2312"/>
          <w:b w:val="0"/>
          <w:sz w:val="24"/>
          <w:szCs w:val="24"/>
        </w:rPr>
      </w:pPr>
      <w:bookmarkStart w:id="48" w:name="_Toc420466111"/>
      <w:bookmarkEnd w:id="48"/>
      <w:bookmarkStart w:id="49" w:name="_Toc420579495"/>
      <w:bookmarkEnd w:id="49"/>
      <w:bookmarkStart w:id="50" w:name="_Toc421887798"/>
      <w:bookmarkStart w:id="51" w:name="_Toc417832564"/>
      <w:r>
        <w:rPr>
          <w:rFonts w:hint="eastAsia" w:ascii="仿宋_GB2312" w:eastAsia="仿宋_GB2312"/>
          <w:b w:val="0"/>
          <w:sz w:val="24"/>
          <w:szCs w:val="24"/>
        </w:rPr>
        <w:t>土壤底物诱导呼吸速率实验结果</w:t>
      </w:r>
      <w:bookmarkEnd w:id="50"/>
    </w:p>
    <w:bookmarkEnd w:id="51"/>
    <w:p>
      <w:pPr>
        <w:pStyle w:val="60"/>
        <w:numPr>
          <w:ilvl w:val="0"/>
          <w:numId w:val="8"/>
        </w:numPr>
        <w:spacing w:before="120" w:after="120" w:line="320" w:lineRule="exact"/>
        <w:ind w:left="840" w:leftChars="200"/>
        <w:jc w:val="left"/>
        <w:rPr>
          <w:rFonts w:eastAsia="宋体"/>
          <w:b w:val="0"/>
          <w:sz w:val="21"/>
          <w:szCs w:val="21"/>
        </w:rPr>
      </w:pPr>
      <w:bookmarkStart w:id="52" w:name="_Toc417832565"/>
      <w:bookmarkStart w:id="53" w:name="_Toc421887799"/>
      <w:r>
        <w:rPr>
          <w:rFonts w:eastAsia="宋体"/>
          <w:b w:val="0"/>
          <w:sz w:val="21"/>
          <w:szCs w:val="21"/>
        </w:rPr>
        <w:t>土壤呼吸强度</w:t>
      </w:r>
      <w:bookmarkEnd w:id="52"/>
      <w:bookmarkEnd w:id="53"/>
    </w:p>
    <w:p>
      <w:pPr>
        <w:pStyle w:val="61"/>
        <w:numPr>
          <w:ilvl w:val="0"/>
          <w:numId w:val="0"/>
        </w:numPr>
        <w:spacing w:beforeLines="0" w:afterLines="0" w:line="320" w:lineRule="exact"/>
        <w:ind w:firstLine="420" w:firstLineChars="200"/>
        <w:outlineLvl w:val="9"/>
        <w:rPr>
          <w:rFonts w:eastAsia="宋体"/>
          <w:b w:val="0"/>
          <w:sz w:val="21"/>
          <w:szCs w:val="21"/>
        </w:rPr>
      </w:pPr>
      <w:r>
        <w:rPr>
          <w:rFonts w:eastAsia="宋体"/>
          <w:b w:val="0"/>
          <w:sz w:val="21"/>
          <w:szCs w:val="21"/>
        </w:rPr>
        <w:t>土壤呼吸强度可以被用来衡量土壤微生物活性，也可以评价土壤肥力。本研究中，采用1kg土样经过1h呼吸后产生的CO</w:t>
      </w:r>
      <w:r>
        <w:rPr>
          <w:rFonts w:eastAsia="宋体"/>
          <w:b w:val="0"/>
          <w:sz w:val="21"/>
          <w:szCs w:val="21"/>
          <w:vertAlign w:val="subscript"/>
        </w:rPr>
        <w:t>2</w:t>
      </w:r>
      <w:r>
        <w:rPr>
          <w:rFonts w:eastAsia="宋体"/>
          <w:b w:val="0"/>
          <w:sz w:val="21"/>
          <w:szCs w:val="21"/>
        </w:rPr>
        <w:t>量（mg）来表示呼吸强度。由图3观察可得，大部分土壤样品数据均在5-20mg/(kg·h)范围内。而S1的土壤呼吸强度明显高于其他地区是因为该地区土壤腐殖质含量高，能为微生物提供丰富的碳源，加速微生物呼吸代谢。但是，由于土壤呼吸作为一个复杂的生物学过程，受到多种因素的作用，这使得土壤呼吸一方面具有某种规律性，另一方面又表现出不规则的变化，显示了相当的复杂性</w:t>
      </w:r>
      <w:r>
        <w:rPr>
          <w:rFonts w:eastAsia="宋体"/>
          <w:b w:val="0"/>
          <w:sz w:val="21"/>
          <w:szCs w:val="21"/>
          <w:vertAlign w:val="superscript"/>
        </w:rPr>
        <w:t>[14]</w:t>
      </w:r>
      <w:r>
        <w:rPr>
          <w:rFonts w:eastAsia="宋体"/>
          <w:b w:val="0"/>
          <w:sz w:val="21"/>
          <w:szCs w:val="21"/>
        </w:rPr>
        <w:t>。</w:t>
      </w:r>
    </w:p>
    <w:p>
      <w:pPr>
        <w:pStyle w:val="60"/>
        <w:spacing w:before="120" w:after="120" w:line="320" w:lineRule="exact"/>
        <w:ind w:left="840" w:leftChars="200"/>
        <w:jc w:val="left"/>
        <w:rPr>
          <w:rFonts w:eastAsia="宋体"/>
          <w:b w:val="0"/>
          <w:sz w:val="21"/>
          <w:szCs w:val="21"/>
        </w:rPr>
      </w:pPr>
      <w:bookmarkStart w:id="54" w:name="_Toc421887800"/>
      <w:r>
        <w:rPr>
          <w:rFonts w:eastAsia="宋体"/>
          <w:b w:val="0"/>
          <w:sz w:val="21"/>
          <w:szCs w:val="21"/>
        </w:rPr>
        <w:t>土壤微生物的抵抗力、恢复力及其功能稳定性</w:t>
      </w:r>
      <w:bookmarkEnd w:id="54"/>
    </w:p>
    <w:p>
      <w:pPr>
        <w:pStyle w:val="41"/>
        <w:spacing w:line="320" w:lineRule="exact"/>
        <w:rPr>
          <w:szCs w:val="21"/>
        </w:rPr>
      </w:pPr>
      <w:r>
        <w:rPr>
          <w:szCs w:val="21"/>
        </w:rPr>
        <w:t>实验通过土壤中微生物呼吸量—f(t)来表述不同类型土壤抵抗力与恢复力的大小。其中，f(1)表示土壤的抵抗力；f(60)表示土壤的恢复力；Sb为土壤的稳定性。在加Cu胁迫的情况下，土壤样品S3/ S6/ S12/ S22呈完全递减趋势（见图4），表明土壤在受到Cu胁迫后总会出现功能稳定性下降的现象。土样S1/ S5/ S13呈始终上升的趋势，这是由于低浓度的铜会促进土壤微生物的呼吸。其余土样的f(t)存在先降低后升高的趋势，表明自身恢复力较好的土壤，在污染后期会修复Cu胁迫带来的毒性危害。而对于呼吸强度明显较高的S1/S9，其抵抗力/恢复力/稳定性均无明显高于其它地区的现象，所以土壤生态功能稳定性并不能只通过土壤微生物活性来衡量，还应结合土壤微生物丰富度和均匀性共同表征。因此，本研究通过计算Shannon-Wiener指数进一步对土壤生态功能稳定性定量描述。</w:t>
      </w:r>
    </w:p>
    <w:p>
      <w:pPr>
        <w:pStyle w:val="60"/>
        <w:numPr>
          <w:ilvl w:val="0"/>
          <w:numId w:val="7"/>
        </w:numPr>
        <w:spacing w:before="120" w:after="120" w:line="320" w:lineRule="exact"/>
        <w:ind w:left="840" w:leftChars="200"/>
        <w:outlineLvl w:val="2"/>
        <w:rPr>
          <w:rFonts w:ascii="仿宋_GB2312" w:eastAsia="仿宋_GB2312"/>
          <w:b w:val="0"/>
          <w:sz w:val="24"/>
          <w:szCs w:val="24"/>
        </w:rPr>
      </w:pPr>
      <w:bookmarkStart w:id="55" w:name="_Toc421887801"/>
      <w:r>
        <w:rPr>
          <w:rFonts w:ascii="仿宋_GB2312" w:eastAsia="仿宋_GB2312"/>
          <w:b w:val="0"/>
          <w:sz w:val="24"/>
          <w:szCs w:val="24"/>
        </w:rPr>
        <w:t>Shannon-Wiener指数分析</w:t>
      </w:r>
      <w:bookmarkEnd w:id="55"/>
    </w:p>
    <w:p>
      <w:pPr>
        <w:pStyle w:val="41"/>
        <w:spacing w:line="320" w:lineRule="exact"/>
        <w:rPr>
          <w:b/>
          <w:bCs/>
          <w:szCs w:val="21"/>
        </w:rPr>
      </w:pPr>
      <w:bookmarkStart w:id="56" w:name="_Toc421565329"/>
      <w:bookmarkEnd w:id="56"/>
      <w:bookmarkStart w:id="57" w:name="_Toc421565647"/>
      <w:bookmarkEnd w:id="57"/>
      <w:r>
        <w:rPr>
          <w:szCs w:val="21"/>
        </w:rPr>
        <w:t>本研究选取了24个不同省份地区的土壤样品，通过微生物群落结构的测定计算得到 Shannon-Wiener 指数，以阐明Cu胁迫对微生物均匀性和多样性的影响。比较土样在T=0与T=60时所对应的 Shannon-Wiener 指数（图5）得出，受Cu胁迫后的60天，除S4/S5/S8外，其余土样的 Shannon-Wiener 指数均有不同程度的降低，并且S3/S16/S19/S22在施加Cu胁迫后第60天的 Shannon-Wiener 指数明显下降，这表明Cu胁迫能降低土壤微生物的多样性和均匀度，改变微生物群落结构。S4/S5/S8的 Shannon-Wiener 指数升高的原因是重金属胁迫使得重金属污染耐性微生物种群被迫转入生长状态</w:t>
      </w:r>
      <w:r>
        <w:rPr>
          <w:szCs w:val="21"/>
          <w:vertAlign w:val="superscript"/>
        </w:rPr>
        <w:t>[15]</w:t>
      </w:r>
      <w:r>
        <w:rPr>
          <w:szCs w:val="21"/>
        </w:rPr>
        <w:t>，从而使微生物的均匀性和多样性提高。总体上看，土壤受到Cu胁迫后，第0天和第60天</w:t>
      </w:r>
      <w:bookmarkStart w:id="58" w:name="_Toc421565328"/>
      <w:bookmarkStart w:id="59" w:name="_Toc421565646"/>
      <w:r>
        <w:rPr>
          <w:szCs w:val="21"/>
        </w:rPr>
        <w:t xml:space="preserve"> Shannon-Wiener 指数的变化幅度并不明显且均呈现较高水平，表明所施加的Cu剂量未超出土壤的环境承载力，验证了实验土壤的研究价值与实验设计的合理性。</w:t>
      </w:r>
      <w:bookmarkEnd w:id="58"/>
      <w:bookmarkEnd w:id="59"/>
    </w:p>
    <w:p>
      <w:pPr>
        <w:pStyle w:val="41"/>
        <w:spacing w:line="320" w:lineRule="exact"/>
        <w:ind w:firstLine="0" w:firstLineChars="0"/>
        <w:rPr>
          <w:szCs w:val="21"/>
        </w:rPr>
        <w:sectPr>
          <w:footerReference r:id="rId14" w:type="first"/>
          <w:pgSz w:w="11906" w:h="16838"/>
          <w:pgMar w:top="1418" w:right="1644" w:bottom="1418" w:left="1644" w:header="851" w:footer="992" w:gutter="0"/>
          <w:cols w:space="720" w:num="1"/>
          <w:titlePg/>
          <w:docGrid w:linePitch="326" w:charSpace="0"/>
        </w:sectPr>
      </w:pPr>
    </w:p>
    <w:p>
      <w:pPr>
        <w:pStyle w:val="41"/>
        <w:spacing w:line="320" w:lineRule="exact"/>
        <w:ind w:firstLine="0" w:firstLineChars="0"/>
        <w:jc w:val="center"/>
        <w:rPr>
          <w:szCs w:val="21"/>
        </w:rPr>
      </w:pPr>
      <w:r>
        <w:rPr>
          <w:rFonts w:ascii="Times New Roman" w:hAnsi="Times New Roman" w:eastAsia="宋体" w:cs="Times New Roman"/>
          <w:kern w:val="2"/>
          <w:sz w:val="21"/>
          <w:szCs w:val="21"/>
          <w:lang w:val="en-US" w:eastAsia="zh-CN" w:bidi="ar-SA"/>
        </w:rPr>
        <w:pict>
          <v:shape id="Text Box 6" o:spid="_x0000_s1032" type="#_x0000_t202" style="position:absolute;left:0;margin-left:217.8pt;margin-top:205.8pt;height:31.05pt;width:280pt;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w:txbxContent>
                <w:p>
                  <w:pPr>
                    <w:spacing w:line="460" w:lineRule="exact"/>
                    <w:jc w:val="center"/>
                    <w:rPr>
                      <w:rFonts w:ascii="宋体" w:hAnsi="宋体" w:eastAsia="宋体"/>
                      <w:sz w:val="18"/>
                      <w:szCs w:val="18"/>
                    </w:rPr>
                  </w:pPr>
                  <w:r>
                    <w:rPr>
                      <w:rFonts w:hint="eastAsia" w:ascii="宋体" w:hAnsi="宋体" w:eastAsia="宋体" w:cs="楷体"/>
                      <w:sz w:val="18"/>
                      <w:szCs w:val="18"/>
                    </w:rPr>
                    <w:t>图</w:t>
                  </w:r>
                  <w:r>
                    <w:rPr>
                      <w:rFonts w:ascii="宋体" w:hAnsi="宋体" w:eastAsia="宋体"/>
                      <w:sz w:val="18"/>
                      <w:szCs w:val="18"/>
                    </w:rPr>
                    <w:t xml:space="preserve">3 </w:t>
                  </w:r>
                  <w:r>
                    <w:rPr>
                      <w:rFonts w:hint="eastAsia" w:ascii="宋体" w:hAnsi="宋体" w:eastAsia="宋体" w:cs="楷体"/>
                      <w:sz w:val="18"/>
                      <w:szCs w:val="18"/>
                    </w:rPr>
                    <w:t>不同地区土壤微生物呼吸强度</w:t>
                  </w:r>
                </w:p>
                <w:p>
                  <w:pPr>
                    <w:jc w:val="center"/>
                  </w:pPr>
                </w:p>
              </w:txbxContent>
            </v:textbox>
          </v:shape>
        </w:pict>
      </w:r>
      <w:r>
        <w:rPr>
          <w:rFonts w:ascii="Times New Roman" w:hAnsi="Times New Roman" w:eastAsia="宋体" w:cs="Times New Roman"/>
          <w:kern w:val="2"/>
          <w:sz w:val="21"/>
          <w:szCs w:val="21"/>
          <w:lang w:val="en-US" w:eastAsia="zh-CN" w:bidi="ar-SA"/>
        </w:rPr>
        <w:pict>
          <v:shape id="Picture 2" type="#_x0000_t75" style="position:absolute;left:0;margin-left:58.8pt;margin-top:4.45pt;height:215.95pt;width:589.5pt;mso-wrap-distance-bottom:0pt;mso-wrap-distance-top:0pt;rotation:0f;z-index:251658240;" o:ole="t" fillcolor="#FFFFFF" filled="f" o:preferrelative="t" stroked="f" coordorigin="0,0" coordsize="21600,21600">
            <v:fill on="f" color2="#FFFFFF" focus="0%"/>
            <v:imagedata croptop="5697f" cropbottom="4035f" gain="65536f" blacklevel="0f" gamma="0" o:title="" r:id="rId26"/>
            <o:lock v:ext="edit" position="f" selection="f" grouping="f" rotation="f" cropping="f" text="f" aspectratio="f"/>
            <w10:wrap type="topAndBottom"/>
          </v:shape>
          <o:OLEObject Type="Embed" ProgID="" ShapeID="Picture 2" DrawAspect="Content" ObjectID="_8" r:id="rId25"/>
        </w:pict>
      </w:r>
    </w:p>
    <w:p>
      <w:pPr>
        <w:spacing w:beforeLines="150" w:afterLines="50" w:line="320" w:lineRule="exact"/>
        <w:jc w:val="center"/>
        <w:rPr>
          <w:sz w:val="18"/>
          <w:szCs w:val="18"/>
        </w:rPr>
      </w:pPr>
      <w:r>
        <w:rPr>
          <w:sz w:val="18"/>
          <w:szCs w:val="18"/>
        </w:rPr>
        <w:t>表5 不同地区土壤的抵抗力与恢复力以及稳定性</w:t>
      </w:r>
    </w:p>
    <w:tbl>
      <w:tblPr>
        <w:tblStyle w:val="39"/>
        <w:tblW w:w="14722" w:type="dxa"/>
        <w:jc w:val="cente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Grid>
        <w:gridCol w:w="706"/>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tblGrid>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trHeight w:val="283" w:hRule="atLeast"/>
          <w:jc w:val="center"/>
        </w:trPr>
        <w:tc>
          <w:tcPr>
            <w:tcW w:w="706" w:type="dxa"/>
            <w:vMerge w:val="restart"/>
            <w:tcBorders>
              <w:top w:val="single" w:color="8DB3E2" w:sz="12" w:space="0"/>
              <w:left w:val="single" w:color="8DB3E2" w:sz="12" w:space="0"/>
              <w:bottom w:val="single" w:color="8DB3E2" w:sz="4" w:space="0"/>
              <w:right w:val="single" w:color="8DB3E2" w:sz="4" w:space="0"/>
            </w:tcBorders>
            <w:shd w:val="clear" w:color="auto" w:fill="DAEEF3"/>
            <w:vAlign w:val="center"/>
          </w:tcPr>
          <w:p>
            <w:pPr>
              <w:spacing w:line="320" w:lineRule="exact"/>
              <w:jc w:val="center"/>
              <w:rPr>
                <w:b/>
                <w:bCs/>
                <w:sz w:val="18"/>
                <w:szCs w:val="18"/>
              </w:rPr>
            </w:pPr>
            <w:r>
              <w:rPr>
                <w:b/>
                <w:bCs/>
                <w:sz w:val="18"/>
                <w:szCs w:val="18"/>
              </w:rPr>
              <w:t>变量</w:t>
            </w:r>
          </w:p>
        </w:tc>
        <w:tc>
          <w:tcPr>
            <w:tcW w:w="14016" w:type="dxa"/>
            <w:gridSpan w:val="24"/>
            <w:tcBorders>
              <w:top w:val="single" w:color="8DB3E2" w:sz="12" w:space="0"/>
              <w:left w:val="single" w:color="8DB3E2" w:sz="4" w:space="0"/>
              <w:bottom w:val="single" w:color="8DB3E2" w:sz="4" w:space="0"/>
              <w:right w:val="single" w:color="8DB3E2" w:sz="12" w:space="0"/>
            </w:tcBorders>
            <w:shd w:val="clear" w:color="auto" w:fill="DAEEF3"/>
            <w:vAlign w:val="center"/>
          </w:tcPr>
          <w:p>
            <w:pPr>
              <w:spacing w:line="320" w:lineRule="exact"/>
              <w:jc w:val="center"/>
              <w:rPr>
                <w:b/>
                <w:bCs/>
                <w:sz w:val="18"/>
                <w:szCs w:val="18"/>
              </w:rPr>
            </w:pPr>
            <w:r>
              <w:rPr>
                <w:b/>
                <w:bCs/>
                <w:sz w:val="18"/>
                <w:szCs w:val="18"/>
              </w:rPr>
              <w:t>土壤样品编号</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trHeight w:val="283" w:hRule="atLeast"/>
          <w:jc w:val="center"/>
        </w:trPr>
        <w:tc>
          <w:tcPr>
            <w:tcW w:w="706" w:type="dxa"/>
            <w:vMerge w:val="continue"/>
            <w:tcBorders>
              <w:top w:val="single" w:color="8DB3E2" w:sz="4" w:space="0"/>
              <w:left w:val="single" w:color="8DB3E2" w:sz="12" w:space="0"/>
              <w:bottom w:val="single" w:color="8DB3E2" w:sz="12" w:space="0"/>
              <w:right w:val="single" w:color="8DB3E2" w:sz="4" w:space="0"/>
            </w:tcBorders>
            <w:shd w:val="clear" w:color="auto" w:fill="DAEEF3"/>
            <w:vAlign w:val="center"/>
          </w:tcPr>
          <w:p>
            <w:pPr>
              <w:spacing w:line="320" w:lineRule="exact"/>
              <w:jc w:val="center"/>
              <w:rPr>
                <w:b/>
                <w:bCs/>
                <w:sz w:val="18"/>
                <w:szCs w:val="18"/>
              </w:rPr>
            </w:pPr>
          </w:p>
        </w:tc>
        <w:tc>
          <w:tcPr>
            <w:tcW w:w="584" w:type="dxa"/>
            <w:tcBorders>
              <w:top w:val="single" w:color="8DB3E2" w:sz="4" w:space="0"/>
              <w:left w:val="single" w:color="8DB3E2" w:sz="4" w:space="0"/>
              <w:bottom w:val="single" w:color="8DB3E2" w:sz="12" w:space="0"/>
              <w:right w:val="nil"/>
            </w:tcBorders>
            <w:shd w:val="clear" w:color="auto" w:fill="DAEEF3"/>
            <w:vAlign w:val="center"/>
          </w:tcPr>
          <w:p>
            <w:pPr>
              <w:spacing w:line="320" w:lineRule="exact"/>
              <w:jc w:val="center"/>
              <w:rPr>
                <w:sz w:val="18"/>
                <w:szCs w:val="18"/>
              </w:rPr>
            </w:pPr>
            <w:r>
              <w:rPr>
                <w:sz w:val="18"/>
                <w:szCs w:val="18"/>
              </w:rPr>
              <w:t>S1</w:t>
            </w:r>
          </w:p>
        </w:tc>
        <w:tc>
          <w:tcPr>
            <w:tcW w:w="584" w:type="dxa"/>
            <w:tcBorders>
              <w:top w:val="single" w:color="8DB3E2" w:sz="4" w:space="0"/>
              <w:left w:val="nil"/>
              <w:bottom w:val="single" w:color="8DB3E2" w:sz="12" w:space="0"/>
              <w:right w:val="nil"/>
            </w:tcBorders>
            <w:shd w:val="clear" w:color="auto" w:fill="DAEEF3"/>
            <w:vAlign w:val="center"/>
          </w:tcPr>
          <w:p>
            <w:pPr>
              <w:spacing w:line="320" w:lineRule="exact"/>
              <w:jc w:val="center"/>
              <w:rPr>
                <w:sz w:val="18"/>
                <w:szCs w:val="18"/>
              </w:rPr>
            </w:pPr>
            <w:r>
              <w:rPr>
                <w:sz w:val="18"/>
                <w:szCs w:val="18"/>
              </w:rPr>
              <w:t>S2</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S3</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S4</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S5</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S6</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S7</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S8</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S9</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S10</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S11</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S12</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S13</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S14</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S15</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S16</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S17</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S18</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S19</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S20</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S21</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S22</w:t>
            </w:r>
          </w:p>
        </w:tc>
        <w:tc>
          <w:tcPr>
            <w:tcW w:w="584" w:type="dxa"/>
            <w:tcBorders>
              <w:top w:val="single" w:color="8DB3E2" w:sz="4" w:space="0"/>
              <w:left w:val="nil"/>
              <w:bottom w:val="single" w:color="8DB3E2" w:sz="12" w:space="0"/>
              <w:right w:val="nil"/>
            </w:tcBorders>
            <w:shd w:val="clear" w:color="auto" w:fill="D2EAF1"/>
            <w:vAlign w:val="center"/>
          </w:tcPr>
          <w:p>
            <w:pPr>
              <w:spacing w:line="320" w:lineRule="exact"/>
              <w:jc w:val="center"/>
              <w:rPr>
                <w:sz w:val="18"/>
                <w:szCs w:val="18"/>
              </w:rPr>
            </w:pPr>
            <w:r>
              <w:rPr>
                <w:sz w:val="18"/>
                <w:szCs w:val="18"/>
              </w:rPr>
              <w:t>S23</w:t>
            </w:r>
          </w:p>
        </w:tc>
        <w:tc>
          <w:tcPr>
            <w:tcW w:w="584" w:type="dxa"/>
            <w:tcBorders>
              <w:top w:val="single" w:color="8DB3E2" w:sz="4" w:space="0"/>
              <w:left w:val="nil"/>
              <w:bottom w:val="single" w:color="8DB3E2" w:sz="12" w:space="0"/>
              <w:right w:val="single" w:color="8DB3E2" w:sz="12" w:space="0"/>
            </w:tcBorders>
            <w:shd w:val="clear" w:color="auto" w:fill="D2EAF1"/>
            <w:vAlign w:val="center"/>
          </w:tcPr>
          <w:p>
            <w:pPr>
              <w:spacing w:line="320" w:lineRule="exact"/>
              <w:jc w:val="center"/>
              <w:rPr>
                <w:sz w:val="18"/>
                <w:szCs w:val="18"/>
              </w:rPr>
            </w:pPr>
            <w:r>
              <w:rPr>
                <w:sz w:val="18"/>
                <w:szCs w:val="18"/>
              </w:rPr>
              <w:t>S24</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trHeight w:val="283" w:hRule="atLeast"/>
          <w:jc w:val="center"/>
        </w:trPr>
        <w:tc>
          <w:tcPr>
            <w:tcW w:w="706" w:type="dxa"/>
            <w:tcBorders>
              <w:top w:val="single" w:color="8DB3E2" w:sz="12" w:space="0"/>
              <w:left w:val="single" w:color="8DB3E2" w:sz="12" w:space="0"/>
              <w:right w:val="single" w:color="8DB3E2" w:sz="4" w:space="0"/>
            </w:tcBorders>
            <w:shd w:val="clear" w:color="auto" w:fill="auto"/>
            <w:vAlign w:val="center"/>
          </w:tcPr>
          <w:p>
            <w:pPr>
              <w:spacing w:line="320" w:lineRule="exact"/>
              <w:jc w:val="center"/>
              <w:rPr>
                <w:b/>
                <w:bCs/>
                <w:sz w:val="18"/>
                <w:szCs w:val="18"/>
                <w:vertAlign w:val="superscript"/>
              </w:rPr>
            </w:pPr>
            <w:r>
              <w:rPr>
                <w:sz w:val="18"/>
                <w:szCs w:val="18"/>
              </w:rPr>
              <w:t>f(1)</w:t>
            </w:r>
            <w:r>
              <w:rPr>
                <w:sz w:val="18"/>
                <w:szCs w:val="18"/>
                <w:vertAlign w:val="superscript"/>
              </w:rPr>
              <w:t>1</w:t>
            </w:r>
          </w:p>
        </w:tc>
        <w:tc>
          <w:tcPr>
            <w:tcW w:w="584" w:type="dxa"/>
            <w:tcBorders>
              <w:top w:val="single" w:color="8DB3E2" w:sz="12" w:space="0"/>
              <w:left w:val="single" w:color="8DB3E2" w:sz="4" w:space="0"/>
            </w:tcBorders>
            <w:shd w:val="clear" w:color="auto" w:fill="D2EAF1"/>
            <w:vAlign w:val="center"/>
          </w:tcPr>
          <w:p>
            <w:pPr>
              <w:spacing w:line="320" w:lineRule="exact"/>
              <w:jc w:val="center"/>
              <w:rPr>
                <w:sz w:val="18"/>
                <w:szCs w:val="18"/>
              </w:rPr>
            </w:pPr>
            <w:r>
              <w:rPr>
                <w:sz w:val="18"/>
                <w:szCs w:val="18"/>
              </w:rPr>
              <w:t>0.69</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0.90</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0.75</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1.11</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0.59</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1.15</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0.85</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0.82</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0.72</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0.97</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1.09</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0.89</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0.60</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1.00</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0.93</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0.91</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1.06</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0.75</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0.84</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0.99</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0.67</w:t>
            </w:r>
          </w:p>
        </w:tc>
        <w:tc>
          <w:tcPr>
            <w:tcW w:w="584" w:type="dxa"/>
            <w:tcBorders>
              <w:top w:val="single" w:color="8DB3E2" w:sz="12" w:space="0"/>
            </w:tcBorders>
            <w:shd w:val="clear" w:color="auto" w:fill="auto"/>
            <w:vAlign w:val="center"/>
          </w:tcPr>
          <w:p>
            <w:pPr>
              <w:spacing w:line="320" w:lineRule="exact"/>
              <w:jc w:val="center"/>
              <w:rPr>
                <w:sz w:val="18"/>
                <w:szCs w:val="18"/>
              </w:rPr>
            </w:pPr>
            <w:r>
              <w:rPr>
                <w:sz w:val="18"/>
                <w:szCs w:val="18"/>
              </w:rPr>
              <w:t>0.66</w:t>
            </w:r>
          </w:p>
        </w:tc>
        <w:tc>
          <w:tcPr>
            <w:tcW w:w="584" w:type="dxa"/>
            <w:tcBorders>
              <w:top w:val="single" w:color="8DB3E2" w:sz="12" w:space="0"/>
            </w:tcBorders>
            <w:shd w:val="clear" w:color="auto" w:fill="D2EAF1"/>
            <w:vAlign w:val="center"/>
          </w:tcPr>
          <w:p>
            <w:pPr>
              <w:spacing w:line="320" w:lineRule="exact"/>
              <w:jc w:val="center"/>
              <w:rPr>
                <w:sz w:val="18"/>
                <w:szCs w:val="18"/>
              </w:rPr>
            </w:pPr>
            <w:r>
              <w:rPr>
                <w:sz w:val="18"/>
                <w:szCs w:val="18"/>
              </w:rPr>
              <w:t>0.40</w:t>
            </w:r>
          </w:p>
        </w:tc>
        <w:tc>
          <w:tcPr>
            <w:tcW w:w="584" w:type="dxa"/>
            <w:tcBorders>
              <w:top w:val="single" w:color="8DB3E2" w:sz="12" w:space="0"/>
              <w:right w:val="single" w:color="8DB3E2" w:sz="12" w:space="0"/>
            </w:tcBorders>
            <w:vAlign w:val="center"/>
          </w:tcPr>
          <w:p>
            <w:pPr>
              <w:spacing w:line="320" w:lineRule="exact"/>
              <w:jc w:val="center"/>
              <w:rPr>
                <w:sz w:val="18"/>
                <w:szCs w:val="18"/>
              </w:rPr>
            </w:pPr>
            <w:r>
              <w:rPr>
                <w:sz w:val="18"/>
                <w:szCs w:val="18"/>
              </w:rPr>
              <w:t>0.60</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trHeight w:val="283" w:hRule="atLeast"/>
          <w:jc w:val="center"/>
        </w:trPr>
        <w:tc>
          <w:tcPr>
            <w:tcW w:w="706" w:type="dxa"/>
            <w:tcBorders>
              <w:left w:val="single" w:color="8DB3E2" w:sz="12" w:space="0"/>
              <w:right w:val="single" w:color="8DB3E2" w:sz="4" w:space="0"/>
            </w:tcBorders>
            <w:shd w:val="clear" w:color="auto" w:fill="D2EAF1"/>
            <w:vAlign w:val="center"/>
          </w:tcPr>
          <w:p>
            <w:pPr>
              <w:spacing w:line="320" w:lineRule="exact"/>
              <w:jc w:val="center"/>
              <w:rPr>
                <w:b/>
                <w:bCs/>
                <w:sz w:val="18"/>
                <w:szCs w:val="18"/>
              </w:rPr>
            </w:pPr>
            <w:r>
              <w:rPr>
                <w:sz w:val="18"/>
                <w:szCs w:val="18"/>
              </w:rPr>
              <w:t>f(60)</w:t>
            </w:r>
            <w:r>
              <w:rPr>
                <w:sz w:val="18"/>
                <w:szCs w:val="18"/>
                <w:vertAlign w:val="superscript"/>
              </w:rPr>
              <w:t>2</w:t>
            </w:r>
          </w:p>
        </w:tc>
        <w:tc>
          <w:tcPr>
            <w:tcW w:w="584" w:type="dxa"/>
            <w:tcBorders>
              <w:left w:val="single" w:color="8DB3E2" w:sz="4" w:space="0"/>
            </w:tcBorders>
            <w:shd w:val="clear" w:color="auto" w:fill="D2EAF1"/>
            <w:vAlign w:val="center"/>
          </w:tcPr>
          <w:p>
            <w:pPr>
              <w:spacing w:line="320" w:lineRule="exact"/>
              <w:jc w:val="center"/>
              <w:rPr>
                <w:sz w:val="18"/>
                <w:szCs w:val="18"/>
              </w:rPr>
            </w:pPr>
            <w:r>
              <w:rPr>
                <w:sz w:val="18"/>
                <w:szCs w:val="18"/>
              </w:rPr>
              <w:t>0.85</w:t>
            </w:r>
          </w:p>
        </w:tc>
        <w:tc>
          <w:tcPr>
            <w:tcW w:w="584" w:type="dxa"/>
            <w:shd w:val="clear" w:color="auto" w:fill="D2EAF1"/>
            <w:vAlign w:val="center"/>
          </w:tcPr>
          <w:p>
            <w:pPr>
              <w:spacing w:line="320" w:lineRule="exact"/>
              <w:jc w:val="center"/>
              <w:rPr>
                <w:sz w:val="18"/>
                <w:szCs w:val="18"/>
              </w:rPr>
            </w:pPr>
            <w:r>
              <w:rPr>
                <w:sz w:val="18"/>
                <w:szCs w:val="18"/>
              </w:rPr>
              <w:t>0.67</w:t>
            </w:r>
          </w:p>
        </w:tc>
        <w:tc>
          <w:tcPr>
            <w:tcW w:w="584" w:type="dxa"/>
            <w:shd w:val="clear" w:color="auto" w:fill="D2EAF1"/>
            <w:vAlign w:val="center"/>
          </w:tcPr>
          <w:p>
            <w:pPr>
              <w:spacing w:line="320" w:lineRule="exact"/>
              <w:jc w:val="center"/>
              <w:rPr>
                <w:sz w:val="18"/>
                <w:szCs w:val="18"/>
              </w:rPr>
            </w:pPr>
            <w:r>
              <w:rPr>
                <w:sz w:val="18"/>
                <w:szCs w:val="18"/>
              </w:rPr>
              <w:t>0.47</w:t>
            </w:r>
          </w:p>
        </w:tc>
        <w:tc>
          <w:tcPr>
            <w:tcW w:w="584" w:type="dxa"/>
            <w:shd w:val="clear" w:color="auto" w:fill="D2EAF1"/>
            <w:vAlign w:val="center"/>
          </w:tcPr>
          <w:p>
            <w:pPr>
              <w:spacing w:line="320" w:lineRule="exact"/>
              <w:jc w:val="center"/>
              <w:rPr>
                <w:sz w:val="18"/>
                <w:szCs w:val="18"/>
              </w:rPr>
            </w:pPr>
            <w:r>
              <w:rPr>
                <w:sz w:val="18"/>
                <w:szCs w:val="18"/>
              </w:rPr>
              <w:t>0.52</w:t>
            </w:r>
          </w:p>
        </w:tc>
        <w:tc>
          <w:tcPr>
            <w:tcW w:w="584" w:type="dxa"/>
            <w:shd w:val="clear" w:color="auto" w:fill="D2EAF1"/>
            <w:vAlign w:val="center"/>
          </w:tcPr>
          <w:p>
            <w:pPr>
              <w:spacing w:line="320" w:lineRule="exact"/>
              <w:jc w:val="center"/>
              <w:rPr>
                <w:sz w:val="18"/>
                <w:szCs w:val="18"/>
              </w:rPr>
            </w:pPr>
            <w:r>
              <w:rPr>
                <w:sz w:val="18"/>
                <w:szCs w:val="18"/>
              </w:rPr>
              <w:t>0.97</w:t>
            </w:r>
          </w:p>
        </w:tc>
        <w:tc>
          <w:tcPr>
            <w:tcW w:w="584" w:type="dxa"/>
            <w:shd w:val="clear" w:color="auto" w:fill="D2EAF1"/>
            <w:vAlign w:val="center"/>
          </w:tcPr>
          <w:p>
            <w:pPr>
              <w:spacing w:line="320" w:lineRule="exact"/>
              <w:jc w:val="center"/>
              <w:rPr>
                <w:sz w:val="18"/>
                <w:szCs w:val="18"/>
              </w:rPr>
            </w:pPr>
            <w:r>
              <w:rPr>
                <w:sz w:val="18"/>
                <w:szCs w:val="18"/>
              </w:rPr>
              <w:t>0.17</w:t>
            </w:r>
          </w:p>
        </w:tc>
        <w:tc>
          <w:tcPr>
            <w:tcW w:w="584" w:type="dxa"/>
            <w:shd w:val="clear" w:color="auto" w:fill="D2EAF1"/>
            <w:vAlign w:val="center"/>
          </w:tcPr>
          <w:p>
            <w:pPr>
              <w:spacing w:line="320" w:lineRule="exact"/>
              <w:jc w:val="center"/>
              <w:rPr>
                <w:sz w:val="18"/>
                <w:szCs w:val="18"/>
              </w:rPr>
            </w:pPr>
            <w:r>
              <w:rPr>
                <w:sz w:val="18"/>
                <w:szCs w:val="18"/>
              </w:rPr>
              <w:t>0.92</w:t>
            </w:r>
          </w:p>
        </w:tc>
        <w:tc>
          <w:tcPr>
            <w:tcW w:w="584" w:type="dxa"/>
            <w:shd w:val="clear" w:color="auto" w:fill="D2EAF1"/>
            <w:vAlign w:val="center"/>
          </w:tcPr>
          <w:p>
            <w:pPr>
              <w:spacing w:line="320" w:lineRule="exact"/>
              <w:jc w:val="center"/>
              <w:rPr>
                <w:sz w:val="18"/>
                <w:szCs w:val="18"/>
              </w:rPr>
            </w:pPr>
            <w:r>
              <w:rPr>
                <w:sz w:val="18"/>
                <w:szCs w:val="18"/>
              </w:rPr>
              <w:t>0.75</w:t>
            </w:r>
          </w:p>
        </w:tc>
        <w:tc>
          <w:tcPr>
            <w:tcW w:w="584" w:type="dxa"/>
            <w:shd w:val="clear" w:color="auto" w:fill="D2EAF1"/>
            <w:vAlign w:val="center"/>
          </w:tcPr>
          <w:p>
            <w:pPr>
              <w:spacing w:line="320" w:lineRule="exact"/>
              <w:jc w:val="center"/>
              <w:rPr>
                <w:sz w:val="18"/>
                <w:szCs w:val="18"/>
              </w:rPr>
            </w:pPr>
            <w:r>
              <w:rPr>
                <w:sz w:val="18"/>
                <w:szCs w:val="18"/>
              </w:rPr>
              <w:t>0.74</w:t>
            </w:r>
          </w:p>
        </w:tc>
        <w:tc>
          <w:tcPr>
            <w:tcW w:w="584" w:type="dxa"/>
            <w:shd w:val="clear" w:color="auto" w:fill="D2EAF1"/>
            <w:vAlign w:val="center"/>
          </w:tcPr>
          <w:p>
            <w:pPr>
              <w:spacing w:line="320" w:lineRule="exact"/>
              <w:jc w:val="center"/>
              <w:rPr>
                <w:sz w:val="18"/>
                <w:szCs w:val="18"/>
              </w:rPr>
            </w:pPr>
            <w:r>
              <w:rPr>
                <w:sz w:val="18"/>
                <w:szCs w:val="18"/>
              </w:rPr>
              <w:t>1.12</w:t>
            </w:r>
          </w:p>
        </w:tc>
        <w:tc>
          <w:tcPr>
            <w:tcW w:w="584" w:type="dxa"/>
            <w:shd w:val="clear" w:color="auto" w:fill="D2EAF1"/>
            <w:vAlign w:val="center"/>
          </w:tcPr>
          <w:p>
            <w:pPr>
              <w:spacing w:line="320" w:lineRule="exact"/>
              <w:jc w:val="center"/>
              <w:rPr>
                <w:sz w:val="18"/>
                <w:szCs w:val="18"/>
              </w:rPr>
            </w:pPr>
            <w:r>
              <w:rPr>
                <w:sz w:val="18"/>
                <w:szCs w:val="18"/>
              </w:rPr>
              <w:t>0.98</w:t>
            </w:r>
          </w:p>
        </w:tc>
        <w:tc>
          <w:tcPr>
            <w:tcW w:w="584" w:type="dxa"/>
            <w:shd w:val="clear" w:color="auto" w:fill="D2EAF1"/>
            <w:vAlign w:val="center"/>
          </w:tcPr>
          <w:p>
            <w:pPr>
              <w:spacing w:line="320" w:lineRule="exact"/>
              <w:jc w:val="center"/>
              <w:rPr>
                <w:sz w:val="18"/>
                <w:szCs w:val="18"/>
              </w:rPr>
            </w:pPr>
            <w:r>
              <w:rPr>
                <w:sz w:val="18"/>
                <w:szCs w:val="18"/>
              </w:rPr>
              <w:t>0.83</w:t>
            </w:r>
          </w:p>
        </w:tc>
        <w:tc>
          <w:tcPr>
            <w:tcW w:w="584" w:type="dxa"/>
            <w:shd w:val="clear" w:color="auto" w:fill="D2EAF1"/>
            <w:vAlign w:val="center"/>
          </w:tcPr>
          <w:p>
            <w:pPr>
              <w:spacing w:line="320" w:lineRule="exact"/>
              <w:jc w:val="center"/>
              <w:rPr>
                <w:sz w:val="18"/>
                <w:szCs w:val="18"/>
              </w:rPr>
            </w:pPr>
            <w:r>
              <w:rPr>
                <w:sz w:val="18"/>
                <w:szCs w:val="18"/>
              </w:rPr>
              <w:t>0.97</w:t>
            </w:r>
          </w:p>
        </w:tc>
        <w:tc>
          <w:tcPr>
            <w:tcW w:w="584" w:type="dxa"/>
            <w:shd w:val="clear" w:color="auto" w:fill="D2EAF1"/>
            <w:vAlign w:val="center"/>
          </w:tcPr>
          <w:p>
            <w:pPr>
              <w:spacing w:line="320" w:lineRule="exact"/>
              <w:jc w:val="center"/>
              <w:rPr>
                <w:sz w:val="18"/>
                <w:szCs w:val="18"/>
              </w:rPr>
            </w:pPr>
            <w:r>
              <w:rPr>
                <w:sz w:val="18"/>
                <w:szCs w:val="18"/>
              </w:rPr>
              <w:t>1.11</w:t>
            </w:r>
          </w:p>
        </w:tc>
        <w:tc>
          <w:tcPr>
            <w:tcW w:w="584" w:type="dxa"/>
            <w:shd w:val="clear" w:color="auto" w:fill="D2EAF1"/>
            <w:vAlign w:val="center"/>
          </w:tcPr>
          <w:p>
            <w:pPr>
              <w:spacing w:line="320" w:lineRule="exact"/>
              <w:jc w:val="center"/>
              <w:rPr>
                <w:sz w:val="18"/>
                <w:szCs w:val="18"/>
              </w:rPr>
            </w:pPr>
            <w:r>
              <w:rPr>
                <w:sz w:val="18"/>
                <w:szCs w:val="18"/>
              </w:rPr>
              <w:t>0.92</w:t>
            </w:r>
          </w:p>
        </w:tc>
        <w:tc>
          <w:tcPr>
            <w:tcW w:w="584" w:type="dxa"/>
            <w:shd w:val="clear" w:color="auto" w:fill="D2EAF1"/>
            <w:vAlign w:val="center"/>
          </w:tcPr>
          <w:p>
            <w:pPr>
              <w:spacing w:line="320" w:lineRule="exact"/>
              <w:jc w:val="center"/>
              <w:rPr>
                <w:sz w:val="18"/>
                <w:szCs w:val="18"/>
              </w:rPr>
            </w:pPr>
            <w:r>
              <w:rPr>
                <w:sz w:val="18"/>
                <w:szCs w:val="18"/>
              </w:rPr>
              <w:t>0.76</w:t>
            </w:r>
          </w:p>
        </w:tc>
        <w:tc>
          <w:tcPr>
            <w:tcW w:w="584" w:type="dxa"/>
            <w:shd w:val="clear" w:color="auto" w:fill="D2EAF1"/>
            <w:vAlign w:val="center"/>
          </w:tcPr>
          <w:p>
            <w:pPr>
              <w:spacing w:line="320" w:lineRule="exact"/>
              <w:jc w:val="center"/>
              <w:rPr>
                <w:sz w:val="18"/>
                <w:szCs w:val="18"/>
              </w:rPr>
            </w:pPr>
            <w:r>
              <w:rPr>
                <w:sz w:val="18"/>
                <w:szCs w:val="18"/>
              </w:rPr>
              <w:t>0.98</w:t>
            </w:r>
          </w:p>
        </w:tc>
        <w:tc>
          <w:tcPr>
            <w:tcW w:w="584" w:type="dxa"/>
            <w:shd w:val="clear" w:color="auto" w:fill="D2EAF1"/>
            <w:vAlign w:val="center"/>
          </w:tcPr>
          <w:p>
            <w:pPr>
              <w:spacing w:line="320" w:lineRule="exact"/>
              <w:jc w:val="center"/>
              <w:rPr>
                <w:sz w:val="18"/>
                <w:szCs w:val="18"/>
              </w:rPr>
            </w:pPr>
            <w:r>
              <w:rPr>
                <w:sz w:val="18"/>
                <w:szCs w:val="18"/>
              </w:rPr>
              <w:t>0.86</w:t>
            </w:r>
          </w:p>
        </w:tc>
        <w:tc>
          <w:tcPr>
            <w:tcW w:w="584" w:type="dxa"/>
            <w:shd w:val="clear" w:color="auto" w:fill="D2EAF1"/>
            <w:vAlign w:val="center"/>
          </w:tcPr>
          <w:p>
            <w:pPr>
              <w:spacing w:line="320" w:lineRule="exact"/>
              <w:jc w:val="center"/>
              <w:rPr>
                <w:sz w:val="18"/>
                <w:szCs w:val="18"/>
              </w:rPr>
            </w:pPr>
            <w:r>
              <w:rPr>
                <w:sz w:val="18"/>
                <w:szCs w:val="18"/>
              </w:rPr>
              <w:t>0.93</w:t>
            </w:r>
          </w:p>
        </w:tc>
        <w:tc>
          <w:tcPr>
            <w:tcW w:w="584" w:type="dxa"/>
            <w:shd w:val="clear" w:color="auto" w:fill="D2EAF1"/>
            <w:vAlign w:val="center"/>
          </w:tcPr>
          <w:p>
            <w:pPr>
              <w:spacing w:line="320" w:lineRule="exact"/>
              <w:jc w:val="center"/>
              <w:rPr>
                <w:sz w:val="18"/>
                <w:szCs w:val="18"/>
              </w:rPr>
            </w:pPr>
            <w:r>
              <w:rPr>
                <w:sz w:val="18"/>
                <w:szCs w:val="18"/>
              </w:rPr>
              <w:t>0.74</w:t>
            </w:r>
          </w:p>
        </w:tc>
        <w:tc>
          <w:tcPr>
            <w:tcW w:w="584" w:type="dxa"/>
            <w:shd w:val="clear" w:color="auto" w:fill="D2EAF1"/>
            <w:vAlign w:val="center"/>
          </w:tcPr>
          <w:p>
            <w:pPr>
              <w:spacing w:line="320" w:lineRule="exact"/>
              <w:jc w:val="center"/>
              <w:rPr>
                <w:sz w:val="18"/>
                <w:szCs w:val="18"/>
              </w:rPr>
            </w:pPr>
            <w:r>
              <w:rPr>
                <w:sz w:val="18"/>
                <w:szCs w:val="18"/>
              </w:rPr>
              <w:t>0.74</w:t>
            </w:r>
          </w:p>
        </w:tc>
        <w:tc>
          <w:tcPr>
            <w:tcW w:w="584" w:type="dxa"/>
            <w:shd w:val="clear" w:color="auto" w:fill="D2EAF1"/>
            <w:vAlign w:val="center"/>
          </w:tcPr>
          <w:p>
            <w:pPr>
              <w:spacing w:line="320" w:lineRule="exact"/>
              <w:jc w:val="center"/>
              <w:rPr>
                <w:sz w:val="18"/>
                <w:szCs w:val="18"/>
              </w:rPr>
            </w:pPr>
            <w:r>
              <w:rPr>
                <w:sz w:val="18"/>
                <w:szCs w:val="18"/>
              </w:rPr>
              <w:t>0.46</w:t>
            </w:r>
          </w:p>
        </w:tc>
        <w:tc>
          <w:tcPr>
            <w:tcW w:w="584" w:type="dxa"/>
            <w:shd w:val="clear" w:color="auto" w:fill="D2EAF1"/>
            <w:vAlign w:val="center"/>
          </w:tcPr>
          <w:p>
            <w:pPr>
              <w:spacing w:line="320" w:lineRule="exact"/>
              <w:jc w:val="center"/>
              <w:rPr>
                <w:sz w:val="18"/>
                <w:szCs w:val="18"/>
              </w:rPr>
            </w:pPr>
            <w:r>
              <w:rPr>
                <w:sz w:val="18"/>
                <w:szCs w:val="18"/>
              </w:rPr>
              <w:t>0.43</w:t>
            </w:r>
          </w:p>
        </w:tc>
        <w:tc>
          <w:tcPr>
            <w:tcW w:w="584" w:type="dxa"/>
            <w:tcBorders>
              <w:right w:val="single" w:color="8DB3E2" w:sz="12" w:space="0"/>
            </w:tcBorders>
            <w:shd w:val="clear" w:color="auto" w:fill="D2EAF1"/>
            <w:vAlign w:val="center"/>
          </w:tcPr>
          <w:p>
            <w:pPr>
              <w:spacing w:line="320" w:lineRule="exact"/>
              <w:jc w:val="center"/>
              <w:rPr>
                <w:sz w:val="18"/>
                <w:szCs w:val="18"/>
              </w:rPr>
            </w:pPr>
            <w:r>
              <w:rPr>
                <w:sz w:val="18"/>
                <w:szCs w:val="18"/>
              </w:rPr>
              <w:t>0.98</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trHeight w:val="283" w:hRule="atLeast"/>
          <w:jc w:val="center"/>
        </w:trPr>
        <w:tc>
          <w:tcPr>
            <w:tcW w:w="706" w:type="dxa"/>
            <w:tcBorders>
              <w:left w:val="single" w:color="8DB3E2" w:sz="12" w:space="0"/>
              <w:bottom w:val="single" w:color="8DB3E2" w:sz="12" w:space="0"/>
              <w:right w:val="single" w:color="8DB3E2" w:sz="4" w:space="0"/>
            </w:tcBorders>
            <w:shd w:val="clear" w:color="auto" w:fill="auto"/>
            <w:vAlign w:val="center"/>
          </w:tcPr>
          <w:p>
            <w:pPr>
              <w:spacing w:line="320" w:lineRule="exact"/>
              <w:jc w:val="center"/>
              <w:rPr>
                <w:b/>
                <w:bCs/>
                <w:sz w:val="18"/>
                <w:szCs w:val="18"/>
                <w:vertAlign w:val="superscript"/>
              </w:rPr>
            </w:pPr>
            <w:r>
              <w:rPr>
                <w:sz w:val="18"/>
                <w:szCs w:val="18"/>
              </w:rPr>
              <w:t>Sb</w:t>
            </w:r>
            <w:r>
              <w:rPr>
                <w:sz w:val="18"/>
                <w:szCs w:val="18"/>
                <w:vertAlign w:val="superscript"/>
              </w:rPr>
              <w:t>3</w:t>
            </w:r>
          </w:p>
        </w:tc>
        <w:tc>
          <w:tcPr>
            <w:tcW w:w="584" w:type="dxa"/>
            <w:tcBorders>
              <w:left w:val="single" w:color="8DB3E2" w:sz="4" w:space="0"/>
              <w:bottom w:val="single" w:color="8DB3E2" w:sz="12" w:space="0"/>
            </w:tcBorders>
            <w:shd w:val="clear" w:color="auto" w:fill="D2EAF1"/>
            <w:vAlign w:val="center"/>
          </w:tcPr>
          <w:p>
            <w:pPr>
              <w:spacing w:line="320" w:lineRule="exact"/>
              <w:jc w:val="center"/>
              <w:rPr>
                <w:sz w:val="18"/>
                <w:szCs w:val="18"/>
              </w:rPr>
            </w:pPr>
            <w:r>
              <w:rPr>
                <w:sz w:val="18"/>
                <w:szCs w:val="18"/>
              </w:rPr>
              <w:t>49.5</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47.3</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34.5</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22.9</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57.7</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29.8</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52.7</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39.9</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44.5</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44.1</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56.5</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49.0</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53.8</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56.6</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52.8</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46.8</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57.3</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39.3</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49.9</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47.1</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45.4</w:t>
            </w:r>
          </w:p>
        </w:tc>
        <w:tc>
          <w:tcPr>
            <w:tcW w:w="584" w:type="dxa"/>
            <w:tcBorders>
              <w:bottom w:val="single" w:color="8DB3E2" w:sz="12" w:space="0"/>
            </w:tcBorders>
            <w:shd w:val="clear" w:color="auto" w:fill="auto"/>
            <w:vAlign w:val="center"/>
          </w:tcPr>
          <w:p>
            <w:pPr>
              <w:spacing w:line="320" w:lineRule="exact"/>
              <w:jc w:val="center"/>
              <w:rPr>
                <w:sz w:val="18"/>
                <w:szCs w:val="18"/>
              </w:rPr>
            </w:pPr>
            <w:r>
              <w:rPr>
                <w:sz w:val="18"/>
                <w:szCs w:val="18"/>
              </w:rPr>
              <w:t>34.6</w:t>
            </w:r>
          </w:p>
        </w:tc>
        <w:tc>
          <w:tcPr>
            <w:tcW w:w="584" w:type="dxa"/>
            <w:tcBorders>
              <w:bottom w:val="single" w:color="8DB3E2" w:sz="12" w:space="0"/>
            </w:tcBorders>
            <w:shd w:val="clear" w:color="auto" w:fill="D2EAF1"/>
            <w:vAlign w:val="center"/>
          </w:tcPr>
          <w:p>
            <w:pPr>
              <w:spacing w:line="320" w:lineRule="exact"/>
              <w:jc w:val="center"/>
              <w:rPr>
                <w:sz w:val="18"/>
                <w:szCs w:val="18"/>
              </w:rPr>
            </w:pPr>
            <w:r>
              <w:rPr>
                <w:sz w:val="18"/>
                <w:szCs w:val="18"/>
              </w:rPr>
              <w:t>17.8</w:t>
            </w:r>
          </w:p>
        </w:tc>
        <w:tc>
          <w:tcPr>
            <w:tcW w:w="584" w:type="dxa"/>
            <w:tcBorders>
              <w:bottom w:val="single" w:color="8DB3E2" w:sz="12" w:space="0"/>
              <w:right w:val="single" w:color="8DB3E2" w:sz="12" w:space="0"/>
            </w:tcBorders>
            <w:vAlign w:val="center"/>
          </w:tcPr>
          <w:p>
            <w:pPr>
              <w:spacing w:line="320" w:lineRule="exact"/>
              <w:jc w:val="center"/>
              <w:rPr>
                <w:sz w:val="18"/>
                <w:szCs w:val="18"/>
              </w:rPr>
            </w:pPr>
            <w:r>
              <w:rPr>
                <w:sz w:val="18"/>
                <w:szCs w:val="18"/>
              </w:rPr>
              <w:t>41.4</w:t>
            </w:r>
          </w:p>
        </w:tc>
      </w:tr>
    </w:tbl>
    <w:p>
      <w:pPr>
        <w:spacing w:line="320" w:lineRule="exact"/>
        <w:rPr>
          <w:sz w:val="18"/>
          <w:szCs w:val="18"/>
        </w:rPr>
      </w:pPr>
      <w:r>
        <w:rPr>
          <w:sz w:val="18"/>
          <w:szCs w:val="18"/>
          <w:vertAlign w:val="superscript"/>
        </w:rPr>
        <w:t>1</w:t>
      </w:r>
      <w:r>
        <w:rPr>
          <w:sz w:val="18"/>
          <w:szCs w:val="18"/>
        </w:rPr>
        <w:t>f(1)表示土壤的抵抗力；</w:t>
      </w:r>
    </w:p>
    <w:p>
      <w:pPr>
        <w:spacing w:line="320" w:lineRule="exact"/>
        <w:rPr>
          <w:sz w:val="18"/>
          <w:szCs w:val="18"/>
        </w:rPr>
      </w:pPr>
      <w:r>
        <w:rPr>
          <w:sz w:val="18"/>
          <w:szCs w:val="18"/>
          <w:vertAlign w:val="superscript"/>
        </w:rPr>
        <w:t>2</w:t>
      </w:r>
      <w:r>
        <w:rPr>
          <w:sz w:val="18"/>
          <w:szCs w:val="18"/>
        </w:rPr>
        <w:t>f(60)表示土壤恢复力；</w:t>
      </w:r>
    </w:p>
    <w:p>
      <w:pPr>
        <w:spacing w:line="320" w:lineRule="exact"/>
        <w:rPr>
          <w:sz w:val="18"/>
          <w:szCs w:val="18"/>
        </w:rPr>
      </w:pPr>
      <w:r>
        <w:rPr>
          <w:sz w:val="18"/>
          <w:szCs w:val="18"/>
          <w:vertAlign w:val="superscript"/>
        </w:rPr>
        <w:t>3</w:t>
      </w:r>
      <w:r>
        <w:rPr>
          <w:sz w:val="18"/>
          <w:szCs w:val="18"/>
        </w:rPr>
        <w:t>Sb为稳定性。</w:t>
      </w:r>
    </w:p>
    <w:p>
      <w:pPr>
        <w:spacing w:line="320" w:lineRule="exact"/>
        <w:rPr>
          <w:szCs w:val="21"/>
        </w:rPr>
        <w:sectPr>
          <w:type w:val="nextColumn"/>
          <w:pgSz w:w="16838" w:h="11906" w:orient="landscape"/>
          <w:pgMar w:top="1644" w:right="1418" w:bottom="1644" w:left="1418" w:header="851" w:footer="992" w:gutter="0"/>
          <w:cols w:space="720" w:num="1"/>
          <w:titlePg/>
          <w:docGrid w:linePitch="326" w:charSpace="0"/>
        </w:sectPr>
      </w:pPr>
    </w:p>
    <w:p>
      <w:pPr>
        <w:spacing w:beforeLines="50" w:afterLines="50" w:line="320" w:lineRule="exact"/>
        <w:jc w:val="center"/>
        <w:rPr>
          <w:sz w:val="18"/>
          <w:szCs w:val="18"/>
        </w:rPr>
        <w:sectPr>
          <w:footerReference r:id="rId15" w:type="default"/>
          <w:pgSz w:w="11906" w:h="16838"/>
          <w:pgMar w:top="1418" w:right="1644" w:bottom="1418" w:left="1644" w:header="851" w:footer="851" w:gutter="0"/>
          <w:cols w:space="720" w:num="1"/>
          <w:titlePg/>
          <w:docGrid w:linePitch="326" w:charSpace="0"/>
        </w:sectPr>
      </w:pPr>
      <w:r>
        <w:rPr>
          <w:rFonts w:ascii="Times New Roman" w:hAnsi="Times New Roman" w:eastAsia="宋体" w:cs="Times New Roman"/>
          <w:kern w:val="2"/>
          <w:sz w:val="18"/>
          <w:szCs w:val="18"/>
          <w:lang w:val="en-US" w:eastAsia="zh-CN" w:bidi="ar-SA"/>
        </w:rPr>
        <w:pict>
          <v:shape id="图片 6" o:spid="_x0000_s1034" type="#_x0000_t75" style="position:absolute;left:0;margin-left:-23.85pt;margin-top:15.15pt;height:633.05pt;width:461.2pt;mso-wrap-distance-bottom:0pt;mso-wrap-distance-top:0pt;rotation:0f;z-index:251660288;" o:ole="f" fillcolor="#FFFFFF" filled="f" o:preferrelative="t" stroked="f" coordorigin="0,0" coordsize="21600,21600">
            <v:fill on="f" color2="#FFFFFF" focus="0%"/>
            <v:imagedata cropleft="1901f" croptop="1364f" cropright="1901f" cropbottom="1364f" gain="65536f" blacklevel="0f" gamma="0" o:title="" r:id="rId27"/>
            <o:lock v:ext="edit" position="f" selection="f" grouping="f" rotation="f" cropping="f" text="f" aspectratio="t"/>
            <w10:wrap type="topAndBottom"/>
          </v:shape>
        </w:pict>
      </w:r>
      <w:r>
        <w:rPr>
          <w:sz w:val="18"/>
          <w:szCs w:val="18"/>
        </w:rPr>
        <w:t>图4 不同区域土壤的恢复曲线</w:t>
      </w:r>
    </w:p>
    <w:p>
      <w:pPr>
        <w:spacing w:line="320" w:lineRule="exact"/>
        <w:rPr>
          <w:szCs w:val="21"/>
        </w:rPr>
        <w:sectPr>
          <w:pgSz w:w="16838" w:h="11906" w:orient="landscape"/>
          <w:pgMar w:top="1644" w:right="1418" w:bottom="1644" w:left="1418" w:header="851" w:footer="851" w:gutter="0"/>
          <w:cols w:space="720" w:num="1"/>
          <w:titlePg/>
          <w:docGrid w:linePitch="326" w:charSpace="0"/>
        </w:sectPr>
      </w:pPr>
      <w:bookmarkStart w:id="60" w:name="OLE_LINK9"/>
      <w:bookmarkStart w:id="61" w:name="OLE_LINK10"/>
    </w:p>
    <w:p>
      <w:pPr>
        <w:spacing w:line="320" w:lineRule="exact"/>
        <w:rPr>
          <w:szCs w:val="21"/>
        </w:rPr>
        <w:sectPr>
          <w:type w:val="continuous"/>
          <w:pgSz w:w="16838" w:h="11906" w:orient="landscape"/>
          <w:pgMar w:top="1644" w:right="1418" w:bottom="1644" w:left="1418" w:header="851" w:footer="851" w:gutter="0"/>
          <w:cols w:space="720" w:num="1"/>
          <w:titlePg/>
          <w:docGrid w:linePitch="326" w:charSpace="0"/>
        </w:sectPr>
      </w:pPr>
      <w:r>
        <w:rPr>
          <w:rFonts w:ascii="Times New Roman" w:hAnsi="Times New Roman" w:eastAsia="宋体" w:cs="Times New Roman"/>
          <w:kern w:val="2"/>
          <w:sz w:val="21"/>
          <w:szCs w:val="21"/>
          <w:lang w:val="en-US" w:eastAsia="zh-CN" w:bidi="ar-SA"/>
        </w:rPr>
        <w:pict>
          <v:shape id="Quad Arrow 6" o:spid="_x0000_s1035" type="#_x0000_t202" style="position:absolute;left:0;margin-left:175.5pt;margin-top:-32.35pt;height:24.9pt;width:384.4pt;rotation:0f;z-index:251663360;" o:ole="f" fillcolor="#FFFFFF" filled="f" o:preferrelative="t" stroked="f" coordorigin="0,0" coordsize="21600,21600">
            <v:fill on="f" color2="#FFFFFF" focus="0%"/>
            <v:imagedata gain="65536f" blacklevel="0f" gamma="0"/>
            <o:lock v:ext="edit" position="f" selection="f" grouping="f" rotation="f" cropping="f" text="f" aspectratio="f"/>
            <v:textbox>
              <w:txbxContent>
                <w:p>
                  <w:pPr>
                    <w:spacing w:line="360" w:lineRule="auto"/>
                    <w:ind w:left="525" w:leftChars="250" w:right="525" w:rightChars="250"/>
                    <w:jc w:val="center"/>
                    <w:rPr>
                      <w:rFonts w:ascii="宋体" w:hAnsi="宋体" w:eastAsia="宋体"/>
                      <w:sz w:val="18"/>
                      <w:szCs w:val="18"/>
                    </w:rPr>
                  </w:pPr>
                  <w:r>
                    <w:rPr>
                      <w:rFonts w:hint="eastAsia" w:ascii="宋体" w:hAnsi="宋体" w:eastAsia="宋体"/>
                      <w:sz w:val="18"/>
                      <w:szCs w:val="18"/>
                    </w:rPr>
                    <w:t>图</w:t>
                  </w:r>
                  <w:r>
                    <w:rPr>
                      <w:rFonts w:ascii="宋体" w:hAnsi="宋体" w:eastAsia="宋体"/>
                      <w:sz w:val="18"/>
                      <w:szCs w:val="18"/>
                    </w:rPr>
                    <w:t>5 Cu</w:t>
                  </w:r>
                  <w:r>
                    <w:rPr>
                      <w:rFonts w:hint="eastAsia" w:ascii="宋体" w:hAnsi="宋体" w:eastAsia="宋体"/>
                      <w:sz w:val="18"/>
                      <w:szCs w:val="18"/>
                    </w:rPr>
                    <w:t>胁迫处理后香农指数的变化</w:t>
                  </w:r>
                </w:p>
              </w:txbxContent>
            </v:textbox>
          </v:shape>
        </w:pict>
      </w:r>
      <w:r>
        <w:rPr>
          <w:rFonts w:ascii="Times New Roman" w:hAnsi="Times New Roman" w:eastAsia="宋体" w:cs="Times New Roman"/>
          <w:kern w:val="2"/>
          <w:sz w:val="21"/>
          <w:szCs w:val="21"/>
          <w:lang w:val="en-US" w:eastAsia="zh-CN" w:bidi="ar-SA"/>
        </w:rPr>
        <w:pict>
          <v:shape id="Text Box 13" o:spid="_x0000_s1036" type="#_x0000_t202" style="position:absolute;left:0;margin-left:175.5pt;margin-top:338pt;height:24.75pt;width:384.4pt;rotation:0f;z-index:251662336;" o:ole="f" fillcolor="#FFFFFF" filled="f" o:preferrelative="t" stroked="f" coordorigin="0,0" coordsize="21600,21600">
            <v:fill on="f" color2="#FFFFFF" focus="0%"/>
            <v:imagedata gain="65536f" blacklevel="0f" gamma="0"/>
            <o:lock v:ext="edit" position="f" selection="f" grouping="f" rotation="f" cropping="f" text="f" aspectratio="f"/>
            <v:textbox>
              <w:txbxContent>
                <w:p>
                  <w:pPr>
                    <w:spacing w:line="360" w:lineRule="auto"/>
                    <w:ind w:left="525" w:leftChars="250" w:right="525" w:rightChars="250"/>
                    <w:jc w:val="center"/>
                  </w:pPr>
                  <w:r>
                    <w:rPr>
                      <w:rFonts w:hint="eastAsia" w:hAnsi="楷体" w:eastAsia="楷体"/>
                    </w:rPr>
                    <w:t>图</w:t>
                  </w:r>
                  <w:r>
                    <w:rPr>
                      <w:rFonts w:eastAsia="楷体"/>
                    </w:rPr>
                    <w:t>5</w:t>
                  </w:r>
                  <w:r>
                    <w:rPr>
                      <w:rFonts w:ascii="楷体" w:hAnsi="楷体" w:eastAsia="楷体"/>
                    </w:rPr>
                    <w:t xml:space="preserve"> </w:t>
                  </w:r>
                  <w:r>
                    <w:rPr>
                      <w:rFonts w:eastAsia="楷体"/>
                    </w:rPr>
                    <w:t>Cu</w:t>
                  </w:r>
                  <w:r>
                    <w:rPr>
                      <w:rFonts w:hint="eastAsia" w:hAnsi="楷体" w:eastAsia="楷体"/>
                    </w:rPr>
                    <w:t>胁迫处理后香农指数的变化</w:t>
                  </w:r>
                </w:p>
              </w:txbxContent>
            </v:textbox>
          </v:shape>
        </w:pict>
      </w:r>
      <w:r>
        <w:rPr>
          <w:rFonts w:ascii="Times New Roman" w:hAnsi="Times New Roman" w:eastAsia="宋体" w:cs="Times New Roman"/>
          <w:kern w:val="2"/>
          <w:sz w:val="21"/>
          <w:szCs w:val="21"/>
          <w:lang w:val="en-US" w:eastAsia="zh-CN" w:bidi="ar-SA"/>
        </w:rPr>
        <w:pict>
          <v:shape id="Picture 4" type="#_x0000_t75" style="position:absolute;left:0;margin-left:-3.2pt;margin-top:-3.4pt;height:362.5pt;width:692.8pt;mso-position-horizontal-relative:margin;mso-position-vertical-relative:margin;mso-wrap-distance-bottom:0pt;mso-wrap-distance-left:9pt;mso-wrap-distance-right:9pt;mso-wrap-distance-top:0pt;rotation:0f;z-index:251661312;" o:ole="t" fillcolor="#FFFFFF" filled="f" o:preferrelative="t" stroked="f" coordorigin="0,0" coordsize="21600,21600">
            <v:fill on="f" color2="#FFFFFF" focus="0%"/>
            <v:imagedata cropleft="1880f" cropright="1880f" gain="65536f" blacklevel="0f" gamma="0" o:title="" r:id="rId29"/>
            <o:lock v:ext="edit" position="f" selection="f" grouping="f" rotation="f" cropping="f" text="f" aspectratio="t"/>
            <w10:wrap type="square"/>
          </v:shape>
          <o:OLEObject Type="Embed" ProgID="" ShapeID="Picture 4" DrawAspect="Content" ObjectID="_12" r:id="rId28"/>
        </w:pict>
      </w:r>
      <w:bookmarkStart w:id="62" w:name="_Toc417832567"/>
      <w:r>
        <w:rPr>
          <w:szCs w:val="21"/>
        </w:rPr>
        <w:t xml:space="preserve"> </w:t>
      </w:r>
    </w:p>
    <w:bookmarkEnd w:id="60"/>
    <w:bookmarkEnd w:id="61"/>
    <w:p>
      <w:pPr>
        <w:pStyle w:val="60"/>
        <w:numPr>
          <w:ilvl w:val="0"/>
          <w:numId w:val="7"/>
        </w:numPr>
        <w:spacing w:before="120" w:after="120" w:line="320" w:lineRule="exact"/>
        <w:ind w:left="840" w:leftChars="200"/>
        <w:outlineLvl w:val="2"/>
        <w:rPr>
          <w:rFonts w:hint="eastAsia" w:ascii="仿宋_GB2312" w:eastAsia="仿宋_GB2312"/>
          <w:b w:val="0"/>
          <w:sz w:val="24"/>
          <w:szCs w:val="24"/>
        </w:rPr>
      </w:pPr>
      <w:bookmarkStart w:id="63" w:name="_Toc421887802"/>
      <w:r>
        <w:rPr>
          <w:rFonts w:hint="eastAsia" w:ascii="仿宋_GB2312" w:eastAsia="仿宋_GB2312"/>
          <w:b w:val="0"/>
          <w:sz w:val="24"/>
          <w:szCs w:val="24"/>
        </w:rPr>
        <w:t>基础理化性质与土壤稳定性</w:t>
      </w:r>
      <w:bookmarkEnd w:id="62"/>
      <w:r>
        <w:rPr>
          <w:rFonts w:hint="eastAsia" w:ascii="仿宋_GB2312" w:eastAsia="仿宋_GB2312"/>
          <w:b w:val="0"/>
          <w:sz w:val="24"/>
          <w:szCs w:val="24"/>
        </w:rPr>
        <w:t>的相关性分析</w:t>
      </w:r>
      <w:bookmarkEnd w:id="63"/>
    </w:p>
    <w:p>
      <w:pPr>
        <w:pStyle w:val="50"/>
        <w:widowControl w:val="0"/>
        <w:spacing w:line="320" w:lineRule="exact"/>
        <w:jc w:val="both"/>
        <w:rPr>
          <w:rFonts w:ascii="Times New Roman" w:hAnsi="Times New Roman"/>
          <w:sz w:val="21"/>
          <w:szCs w:val="21"/>
        </w:rPr>
      </w:pPr>
      <w:r>
        <w:rPr>
          <w:rFonts w:ascii="Times New Roman" w:hAnsi="Times New Roman"/>
          <w:sz w:val="21"/>
          <w:szCs w:val="21"/>
        </w:rPr>
        <w:t>为寻找影响土壤抵抗力、恢复力及稳定性的关键因子，本研究对土壤样品的基础理化性质指标进行分析（其中包括pH、沙粒含量、粘粒含量、CEC、C/N、DOC），并对其与土壤抵抗力、恢复力及稳定性进行相关性分析。结果显示，各要素对抵抗力影响程度依次为：pH＞粘粒含量＞CEC＞DOC＞沙粒含量＞C/N；对恢复力影响程度依次为：沙粒含量＞C/N＞DOC＞CEC＞粘粒含量＞pH；对稳定性影响程度依次为：C/N＞DOC＞粘粒含量＞沙粒含量＞CEC＞pH。</w:t>
      </w:r>
    </w:p>
    <w:p>
      <w:pPr>
        <w:pStyle w:val="50"/>
        <w:widowControl w:val="0"/>
        <w:spacing w:line="320" w:lineRule="exact"/>
        <w:jc w:val="both"/>
        <w:rPr>
          <w:rFonts w:ascii="Times New Roman" w:hAnsi="Times New Roman"/>
          <w:sz w:val="21"/>
          <w:szCs w:val="21"/>
        </w:rPr>
      </w:pPr>
      <w:r>
        <w:rPr>
          <w:rFonts w:ascii="Times New Roman" w:hAnsi="Times New Roman"/>
          <w:sz w:val="21"/>
          <w:szCs w:val="21"/>
        </w:rPr>
        <w:t>相关性分析（表6）显示，土壤基础理化性质指标中pH与土壤抵抗力呈显著性正相关，沙粒含量与土壤恢复力呈显著性负相关。</w:t>
      </w:r>
    </w:p>
    <w:p>
      <w:pPr>
        <w:pStyle w:val="50"/>
        <w:widowControl w:val="0"/>
        <w:spacing w:line="320" w:lineRule="exact"/>
        <w:jc w:val="both"/>
        <w:rPr>
          <w:rFonts w:ascii="Times New Roman" w:hAnsi="Times New Roman"/>
          <w:sz w:val="21"/>
          <w:szCs w:val="21"/>
        </w:rPr>
      </w:pPr>
      <w:r>
        <w:rPr>
          <w:rFonts w:ascii="Times New Roman" w:hAnsi="Times New Roman"/>
          <w:sz w:val="21"/>
          <w:szCs w:val="21"/>
        </w:rPr>
        <w:t>pH与抵抗力满足P</w:t>
      </w:r>
      <w:r>
        <w:rPr>
          <w:rFonts w:ascii="Times New Roman" w:hAnsi="Times New Roman"/>
          <w:sz w:val="21"/>
          <w:szCs w:val="21"/>
        </w:rPr>
        <w:fldChar w:fldCharType="begin"/>
      </w:r>
      <w:r>
        <w:rPr>
          <w:rFonts w:ascii="Times New Roman" w:hAnsi="Times New Roman"/>
          <w:sz w:val="21"/>
          <w:szCs w:val="21"/>
        </w:rPr>
        <w:instrText xml:space="preserve"> QUOTE </w:instrText>
      </w:r>
      <w:r>
        <w:rPr>
          <w:rFonts w:ascii="Times New Roman" w:hAnsi="Times New Roman" w:eastAsia="宋体" w:cs="Times New Roman"/>
          <w:kern w:val="0"/>
          <w:sz w:val="21"/>
          <w:szCs w:val="21"/>
          <w:lang w:val="en-US" w:eastAsia="zh-CN" w:bidi="ar-SA"/>
        </w:rPr>
        <w:pict>
          <v:shape id="图片 10" o:spid="_x0000_s1038" type="#_x0000_t75" style="height:14.4pt;width:10pt;rotation:0f;" o:ole="f" fillcolor="#FFFFFF" filled="f" o:preferrelative="t" stroked="f" coordorigin="0,0" coordsize="21600,21600">
            <v:fill on="f" color2="#FFFFFF" focus="0%"/>
            <v:imagedata gain="65536f" blacklevel="0f" gamma="0" chromakey="#FFFFFF" o:title="" r:id="rId30"/>
            <o:lock v:ext="edit" position="f" selection="f" grouping="f" rotation="f" cropping="f" text="f" aspectratio="t"/>
            <w10:wrap type="none"/>
            <w10:anchorlock/>
          </v:shape>
        </w:pict>
      </w:r>
      <w:r>
        <w:rPr>
          <w:rFonts w:ascii="Times New Roman" w:hAnsi="Times New Roman"/>
          <w:sz w:val="21"/>
          <w:szCs w:val="21"/>
        </w:rPr>
        <w:instrText xml:space="preserve"> </w:instrText>
      </w:r>
      <w:r>
        <w:rPr>
          <w:rFonts w:ascii="Times New Roman" w:hAnsi="Times New Roman"/>
          <w:sz w:val="21"/>
          <w:szCs w:val="21"/>
        </w:rPr>
        <w:fldChar w:fldCharType="end"/>
      </w:r>
      <w:r>
        <w:rPr>
          <w:rFonts w:ascii="Times New Roman" w:hAnsi="Times New Roman"/>
          <w:sz w:val="21"/>
          <w:szCs w:val="21"/>
        </w:rPr>
        <w:t>＜0.05的显著性正相关，即pH在4.54-8.56的范围内与土壤抵抗力呈正相关性，这是由于土壤的酸碱度能够对土壤吸附重金属的能力及其在土壤中的化学形态产生影响，继而影响土壤溶液中重金属的有效性，土壤中的胶体会随pH的降低而逐渐溶解，其吸附能力逐渐下降，从而导致土壤对于重金属的抵抗能力受到破坏。此外有研究表明低pH将加速重金属的迁移及释放，而高pH有利于提高土壤中重金属的固化</w:t>
      </w:r>
      <w:r>
        <w:rPr>
          <w:rFonts w:ascii="Times New Roman" w:hAnsi="Times New Roman"/>
          <w:sz w:val="21"/>
          <w:szCs w:val="21"/>
          <w:vertAlign w:val="superscript"/>
        </w:rPr>
        <w:t>[16-17]</w:t>
      </w:r>
      <w:r>
        <w:rPr>
          <w:rFonts w:ascii="Times New Roman" w:hAnsi="Times New Roman"/>
          <w:sz w:val="21"/>
          <w:szCs w:val="21"/>
        </w:rPr>
        <w:t>。也就是说，土壤中的有效重金属含量会随pH升高而降低，导致微生物代谢能力发生明显改变</w:t>
      </w:r>
      <w:r>
        <w:rPr>
          <w:rFonts w:ascii="Times New Roman" w:hAnsi="Times New Roman"/>
          <w:sz w:val="21"/>
          <w:szCs w:val="21"/>
          <w:vertAlign w:val="superscript"/>
        </w:rPr>
        <w:t>[18]</w:t>
      </w:r>
      <w:r>
        <w:rPr>
          <w:rFonts w:ascii="Times New Roman" w:hAnsi="Times New Roman"/>
          <w:sz w:val="21"/>
          <w:szCs w:val="21"/>
        </w:rPr>
        <w:t>，产生高水平、不稳定的微生物活动</w:t>
      </w:r>
      <w:r>
        <w:rPr>
          <w:rFonts w:ascii="Times New Roman" w:hAnsi="Times New Roman"/>
          <w:sz w:val="21"/>
          <w:szCs w:val="21"/>
          <w:vertAlign w:val="superscript"/>
        </w:rPr>
        <w:t>[19]</w:t>
      </w:r>
      <w:r>
        <w:rPr>
          <w:rFonts w:ascii="Times New Roman" w:hAnsi="Times New Roman"/>
          <w:sz w:val="21"/>
          <w:szCs w:val="21"/>
        </w:rPr>
        <w:t>。证明了pH与土壤抵抗力呈显著正相关的研究结论。反之，pH与恢复力、稳定性的相关系数分别为0.070、0.015，均不呈现显著相关关系。G.Bltton</w:t>
      </w:r>
      <w:r>
        <w:rPr>
          <w:rFonts w:ascii="Times New Roman" w:hAnsi="Times New Roman"/>
          <w:sz w:val="21"/>
          <w:szCs w:val="21"/>
          <w:vertAlign w:val="superscript"/>
        </w:rPr>
        <w:t>[20]</w:t>
      </w:r>
      <w:r>
        <w:rPr>
          <w:rFonts w:ascii="Times New Roman" w:hAnsi="Times New Roman"/>
          <w:sz w:val="21"/>
          <w:szCs w:val="21"/>
        </w:rPr>
        <w:t>的研究表明，pH值为3.0和3.7的酸性水对土壤微生物活性影响甚微。另外，黎宁等人的报告也指出，pH＜2.0的酸性处理环境无法改变土壤中的酶活性</w:t>
      </w:r>
      <w:r>
        <w:rPr>
          <w:rFonts w:ascii="Times New Roman" w:hAnsi="Times New Roman"/>
          <w:sz w:val="21"/>
          <w:szCs w:val="21"/>
          <w:vertAlign w:val="superscript"/>
        </w:rPr>
        <w:t>[21]</w:t>
      </w:r>
      <w:r>
        <w:rPr>
          <w:rFonts w:ascii="Times New Roman" w:hAnsi="Times New Roman"/>
          <w:sz w:val="21"/>
          <w:szCs w:val="21"/>
        </w:rPr>
        <w:t>，而酶活性与微生物活性是恢复力的重要表征指标，是影响土壤生态功能稳定性的重要因素，因此，pH与土壤与恢复力及稳定性的相关性并不显著，与研究结论一致。</w:t>
      </w:r>
    </w:p>
    <w:p>
      <w:pPr>
        <w:pStyle w:val="50"/>
        <w:widowControl w:val="0"/>
        <w:spacing w:line="320" w:lineRule="exact"/>
        <w:jc w:val="both"/>
        <w:rPr>
          <w:rFonts w:ascii="Times New Roman" w:hAnsi="Times New Roman"/>
          <w:sz w:val="21"/>
          <w:szCs w:val="21"/>
        </w:rPr>
      </w:pPr>
      <w:r>
        <w:rPr>
          <w:rFonts w:ascii="Times New Roman" w:hAnsi="Times New Roman"/>
          <w:sz w:val="21"/>
          <w:szCs w:val="21"/>
        </w:rPr>
        <w:t>沙粒含量与恢复力满足P＜0.01显著性负相关。这是由于沙粒含量高的土壤堆放空隙大、有机质降解速率高、保水保肥能力差，导致缺乏粘粒（无机胶体）和OM（有机质胶体），矿质养分含量低</w:t>
      </w:r>
      <w:r>
        <w:rPr>
          <w:rFonts w:ascii="Times New Roman" w:hAnsi="Times New Roman"/>
          <w:sz w:val="21"/>
          <w:szCs w:val="21"/>
          <w:vertAlign w:val="superscript"/>
        </w:rPr>
        <w:t>[21]</w:t>
      </w:r>
      <w:r>
        <w:rPr>
          <w:rFonts w:ascii="Times New Roman" w:hAnsi="Times New Roman"/>
          <w:sz w:val="21"/>
          <w:szCs w:val="21"/>
        </w:rPr>
        <w:t>，从而加剧了土壤中微生物的竞争，限制其数量增长。此外沙粒土壤养分释放慢，比表面积小，粘结性、黏着性和吸附性低，不易形成团粒结构，导致土壤中有效重金属的含量升高。综上，沙粒含量高的土壤中的微生物不易修复重金属污染带来的危害。</w:t>
      </w:r>
    </w:p>
    <w:p>
      <w:pPr>
        <w:spacing w:beforeLines="50" w:afterLines="50" w:line="320" w:lineRule="exact"/>
        <w:jc w:val="center"/>
        <w:rPr>
          <w:sz w:val="18"/>
          <w:szCs w:val="18"/>
        </w:rPr>
      </w:pPr>
      <w:r>
        <w:rPr>
          <w:sz w:val="18"/>
          <w:szCs w:val="18"/>
        </w:rPr>
        <w:t>表6 相关性分析</w:t>
      </w:r>
    </w:p>
    <w:tbl>
      <w:tblPr>
        <w:tblStyle w:val="39"/>
        <w:tblW w:w="9124" w:type="dxa"/>
        <w:jc w:val="center"/>
        <w:tblInd w:w="288"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0"/>
        <w:gridCol w:w="850"/>
        <w:gridCol w:w="850"/>
        <w:gridCol w:w="850"/>
        <w:gridCol w:w="850"/>
        <w:gridCol w:w="850"/>
        <w:gridCol w:w="1077"/>
        <w:gridCol w:w="1077"/>
        <w:gridCol w:w="850"/>
        <w:gridCol w:w="850"/>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exact"/>
          <w:jc w:val="center"/>
        </w:trPr>
        <w:tc>
          <w:tcPr>
            <w:tcW w:w="1020" w:type="dxa"/>
            <w:tcBorders>
              <w:top w:val="single" w:color="31849B" w:sz="12" w:space="0"/>
              <w:bottom w:val="single" w:color="31849B" w:sz="12" w:space="0"/>
              <w:right w:val="nil"/>
            </w:tcBorders>
            <w:vAlign w:val="center"/>
          </w:tcPr>
          <w:p>
            <w:pPr>
              <w:jc w:val="center"/>
              <w:rPr>
                <w:sz w:val="18"/>
                <w:szCs w:val="18"/>
              </w:rPr>
            </w:pPr>
          </w:p>
        </w:tc>
        <w:tc>
          <w:tcPr>
            <w:tcW w:w="850" w:type="dxa"/>
            <w:tcBorders>
              <w:top w:val="single" w:color="31849B" w:sz="12" w:space="0"/>
              <w:left w:val="nil"/>
              <w:bottom w:val="single" w:color="31849B" w:sz="12" w:space="0"/>
            </w:tcBorders>
            <w:vAlign w:val="center"/>
          </w:tcPr>
          <w:p>
            <w:pPr>
              <w:jc w:val="center"/>
              <w:rPr>
                <w:bCs/>
                <w:sz w:val="18"/>
                <w:szCs w:val="18"/>
              </w:rPr>
            </w:pPr>
            <w:r>
              <w:rPr>
                <w:bCs/>
                <w:sz w:val="18"/>
                <w:szCs w:val="18"/>
              </w:rPr>
              <w:t>抵抗力</w:t>
            </w:r>
          </w:p>
        </w:tc>
        <w:tc>
          <w:tcPr>
            <w:tcW w:w="850" w:type="dxa"/>
            <w:tcBorders>
              <w:top w:val="single" w:color="31849B" w:sz="12" w:space="0"/>
              <w:bottom w:val="single" w:color="31849B" w:sz="12" w:space="0"/>
            </w:tcBorders>
            <w:vAlign w:val="center"/>
          </w:tcPr>
          <w:p>
            <w:pPr>
              <w:jc w:val="center"/>
              <w:rPr>
                <w:bCs/>
                <w:sz w:val="18"/>
                <w:szCs w:val="18"/>
              </w:rPr>
            </w:pPr>
            <w:r>
              <w:rPr>
                <w:bCs/>
                <w:sz w:val="18"/>
                <w:szCs w:val="18"/>
              </w:rPr>
              <w:t>恢复力</w:t>
            </w:r>
          </w:p>
        </w:tc>
        <w:tc>
          <w:tcPr>
            <w:tcW w:w="850" w:type="dxa"/>
            <w:tcBorders>
              <w:top w:val="single" w:color="31849B" w:sz="12" w:space="0"/>
              <w:bottom w:val="single" w:color="31849B" w:sz="12" w:space="0"/>
            </w:tcBorders>
            <w:vAlign w:val="center"/>
          </w:tcPr>
          <w:p>
            <w:pPr>
              <w:jc w:val="center"/>
              <w:rPr>
                <w:bCs/>
                <w:sz w:val="18"/>
                <w:szCs w:val="18"/>
              </w:rPr>
            </w:pPr>
            <w:r>
              <w:rPr>
                <w:bCs/>
                <w:sz w:val="18"/>
                <w:szCs w:val="18"/>
              </w:rPr>
              <w:t>稳定性</w:t>
            </w:r>
          </w:p>
        </w:tc>
        <w:tc>
          <w:tcPr>
            <w:tcW w:w="850" w:type="dxa"/>
            <w:tcBorders>
              <w:top w:val="single" w:color="31849B" w:sz="12" w:space="0"/>
              <w:bottom w:val="single" w:color="31849B" w:sz="12" w:space="0"/>
            </w:tcBorders>
            <w:vAlign w:val="center"/>
          </w:tcPr>
          <w:p>
            <w:pPr>
              <w:jc w:val="center"/>
              <w:rPr>
                <w:bCs/>
                <w:sz w:val="18"/>
                <w:szCs w:val="18"/>
              </w:rPr>
            </w:pPr>
            <w:r>
              <w:rPr>
                <w:bCs/>
                <w:sz w:val="18"/>
                <w:szCs w:val="18"/>
              </w:rPr>
              <w:t>pH</w:t>
            </w:r>
          </w:p>
        </w:tc>
        <w:tc>
          <w:tcPr>
            <w:tcW w:w="850" w:type="dxa"/>
            <w:tcBorders>
              <w:top w:val="single" w:color="31849B" w:sz="12" w:space="0"/>
              <w:bottom w:val="single" w:color="31849B" w:sz="12" w:space="0"/>
            </w:tcBorders>
            <w:vAlign w:val="center"/>
          </w:tcPr>
          <w:p>
            <w:pPr>
              <w:jc w:val="center"/>
              <w:rPr>
                <w:bCs/>
                <w:sz w:val="18"/>
                <w:szCs w:val="18"/>
              </w:rPr>
            </w:pPr>
            <w:r>
              <w:rPr>
                <w:bCs/>
                <w:sz w:val="18"/>
                <w:szCs w:val="18"/>
              </w:rPr>
              <w:t>C/N</w:t>
            </w:r>
          </w:p>
        </w:tc>
        <w:tc>
          <w:tcPr>
            <w:tcW w:w="1077" w:type="dxa"/>
            <w:tcBorders>
              <w:top w:val="single" w:color="31849B" w:sz="12" w:space="0"/>
              <w:bottom w:val="single" w:color="31849B" w:sz="12" w:space="0"/>
            </w:tcBorders>
            <w:vAlign w:val="center"/>
          </w:tcPr>
          <w:p>
            <w:pPr>
              <w:jc w:val="center"/>
              <w:rPr>
                <w:bCs/>
                <w:sz w:val="18"/>
                <w:szCs w:val="18"/>
              </w:rPr>
            </w:pPr>
            <w:r>
              <w:rPr>
                <w:bCs/>
                <w:sz w:val="18"/>
                <w:szCs w:val="18"/>
              </w:rPr>
              <w:t>沙粒含量</w:t>
            </w:r>
          </w:p>
        </w:tc>
        <w:tc>
          <w:tcPr>
            <w:tcW w:w="1077" w:type="dxa"/>
            <w:tcBorders>
              <w:top w:val="single" w:color="31849B" w:sz="12" w:space="0"/>
              <w:bottom w:val="single" w:color="31849B" w:sz="12" w:space="0"/>
            </w:tcBorders>
            <w:vAlign w:val="center"/>
          </w:tcPr>
          <w:p>
            <w:pPr>
              <w:jc w:val="center"/>
              <w:rPr>
                <w:bCs/>
                <w:sz w:val="18"/>
                <w:szCs w:val="18"/>
              </w:rPr>
            </w:pPr>
            <w:r>
              <w:rPr>
                <w:bCs/>
                <w:sz w:val="18"/>
                <w:szCs w:val="18"/>
              </w:rPr>
              <w:t>粘粒含量</w:t>
            </w:r>
          </w:p>
        </w:tc>
        <w:tc>
          <w:tcPr>
            <w:tcW w:w="850" w:type="dxa"/>
            <w:tcBorders>
              <w:top w:val="single" w:color="31849B" w:sz="12" w:space="0"/>
              <w:bottom w:val="single" w:color="31849B" w:sz="12" w:space="0"/>
            </w:tcBorders>
            <w:vAlign w:val="center"/>
          </w:tcPr>
          <w:p>
            <w:pPr>
              <w:jc w:val="center"/>
              <w:rPr>
                <w:bCs/>
                <w:sz w:val="18"/>
                <w:szCs w:val="18"/>
              </w:rPr>
            </w:pPr>
            <w:r>
              <w:rPr>
                <w:bCs/>
                <w:sz w:val="18"/>
                <w:szCs w:val="18"/>
              </w:rPr>
              <w:t>CEC</w:t>
            </w:r>
          </w:p>
        </w:tc>
        <w:tc>
          <w:tcPr>
            <w:tcW w:w="850" w:type="dxa"/>
            <w:tcBorders>
              <w:top w:val="single" w:color="31849B" w:sz="12" w:space="0"/>
              <w:bottom w:val="single" w:color="31849B" w:sz="12" w:space="0"/>
            </w:tcBorders>
            <w:vAlign w:val="center"/>
          </w:tcPr>
          <w:p>
            <w:pPr>
              <w:jc w:val="center"/>
              <w:rPr>
                <w:bCs/>
                <w:sz w:val="18"/>
                <w:szCs w:val="18"/>
              </w:rPr>
            </w:pPr>
            <w:r>
              <w:rPr>
                <w:bCs/>
                <w:sz w:val="18"/>
                <w:szCs w:val="18"/>
              </w:rPr>
              <w:t>DOC</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single" w:color="31849B" w:sz="12" w:space="0"/>
              <w:bottom w:val="nil"/>
              <w:right w:val="nil"/>
            </w:tcBorders>
            <w:shd w:val="clear" w:color="auto" w:fill="B6DDE8"/>
            <w:vAlign w:val="center"/>
          </w:tcPr>
          <w:p>
            <w:pPr>
              <w:jc w:val="center"/>
              <w:rPr>
                <w:bCs/>
                <w:spacing w:val="-8"/>
                <w:sz w:val="18"/>
                <w:szCs w:val="18"/>
              </w:rPr>
            </w:pPr>
            <w:r>
              <w:rPr>
                <w:bCs/>
                <w:spacing w:val="-8"/>
                <w:sz w:val="18"/>
                <w:szCs w:val="18"/>
              </w:rPr>
              <w:t>抵抗力</w:t>
            </w:r>
          </w:p>
        </w:tc>
        <w:tc>
          <w:tcPr>
            <w:tcW w:w="850" w:type="dxa"/>
            <w:tcBorders>
              <w:top w:val="single" w:color="31849B" w:sz="12" w:space="0"/>
              <w:left w:val="nil"/>
              <w:bottom w:val="nil"/>
            </w:tcBorders>
            <w:shd w:val="clear" w:color="auto" w:fill="B6DDE8"/>
            <w:vAlign w:val="center"/>
          </w:tcPr>
          <w:p>
            <w:pPr>
              <w:jc w:val="center"/>
              <w:rPr>
                <w:spacing w:val="-8"/>
                <w:sz w:val="18"/>
                <w:szCs w:val="18"/>
              </w:rPr>
            </w:pPr>
            <w:r>
              <w:rPr>
                <w:spacing w:val="-8"/>
                <w:sz w:val="18"/>
                <w:szCs w:val="18"/>
              </w:rPr>
              <w:t>1.000</w:t>
            </w:r>
          </w:p>
        </w:tc>
        <w:tc>
          <w:tcPr>
            <w:tcW w:w="850" w:type="dxa"/>
            <w:tcBorders>
              <w:top w:val="single" w:color="31849B" w:sz="12" w:space="0"/>
              <w:bottom w:val="nil"/>
            </w:tcBorders>
            <w:shd w:val="clear" w:color="auto" w:fill="B6DDE8"/>
            <w:vAlign w:val="center"/>
          </w:tcPr>
          <w:p>
            <w:pPr>
              <w:jc w:val="center"/>
              <w:rPr>
                <w:spacing w:val="-8"/>
                <w:sz w:val="18"/>
                <w:szCs w:val="18"/>
              </w:rPr>
            </w:pPr>
          </w:p>
        </w:tc>
        <w:tc>
          <w:tcPr>
            <w:tcW w:w="850" w:type="dxa"/>
            <w:tcBorders>
              <w:top w:val="single" w:color="31849B" w:sz="12" w:space="0"/>
              <w:bottom w:val="nil"/>
            </w:tcBorders>
            <w:shd w:val="clear" w:color="auto" w:fill="B6DDE8"/>
            <w:vAlign w:val="center"/>
          </w:tcPr>
          <w:p>
            <w:pPr>
              <w:jc w:val="center"/>
              <w:rPr>
                <w:spacing w:val="-8"/>
                <w:sz w:val="18"/>
                <w:szCs w:val="18"/>
              </w:rPr>
            </w:pPr>
          </w:p>
        </w:tc>
        <w:tc>
          <w:tcPr>
            <w:tcW w:w="850" w:type="dxa"/>
            <w:tcBorders>
              <w:top w:val="single" w:color="31849B" w:sz="12" w:space="0"/>
              <w:bottom w:val="nil"/>
            </w:tcBorders>
            <w:shd w:val="clear" w:color="auto" w:fill="B6DDE8"/>
            <w:vAlign w:val="center"/>
          </w:tcPr>
          <w:p>
            <w:pPr>
              <w:jc w:val="center"/>
              <w:rPr>
                <w:spacing w:val="-8"/>
                <w:sz w:val="18"/>
                <w:szCs w:val="18"/>
              </w:rPr>
            </w:pPr>
          </w:p>
        </w:tc>
        <w:tc>
          <w:tcPr>
            <w:tcW w:w="850" w:type="dxa"/>
            <w:tcBorders>
              <w:top w:val="single" w:color="31849B" w:sz="12" w:space="0"/>
              <w:bottom w:val="nil"/>
            </w:tcBorders>
            <w:shd w:val="clear" w:color="auto" w:fill="B6DDE8"/>
            <w:vAlign w:val="center"/>
          </w:tcPr>
          <w:p>
            <w:pPr>
              <w:jc w:val="center"/>
              <w:rPr>
                <w:spacing w:val="-8"/>
                <w:sz w:val="18"/>
                <w:szCs w:val="18"/>
              </w:rPr>
            </w:pPr>
          </w:p>
        </w:tc>
        <w:tc>
          <w:tcPr>
            <w:tcW w:w="1077" w:type="dxa"/>
            <w:tcBorders>
              <w:top w:val="single" w:color="31849B" w:sz="12" w:space="0"/>
              <w:bottom w:val="nil"/>
            </w:tcBorders>
            <w:shd w:val="clear" w:color="auto" w:fill="B6DDE8"/>
            <w:vAlign w:val="center"/>
          </w:tcPr>
          <w:p>
            <w:pPr>
              <w:jc w:val="center"/>
              <w:rPr>
                <w:spacing w:val="-8"/>
                <w:sz w:val="18"/>
                <w:szCs w:val="18"/>
              </w:rPr>
            </w:pPr>
          </w:p>
        </w:tc>
        <w:tc>
          <w:tcPr>
            <w:tcW w:w="1077" w:type="dxa"/>
            <w:tcBorders>
              <w:top w:val="single" w:color="31849B" w:sz="12" w:space="0"/>
              <w:bottom w:val="nil"/>
            </w:tcBorders>
            <w:shd w:val="clear" w:color="auto" w:fill="B6DDE8"/>
            <w:vAlign w:val="center"/>
          </w:tcPr>
          <w:p>
            <w:pPr>
              <w:jc w:val="center"/>
              <w:rPr>
                <w:spacing w:val="-8"/>
                <w:sz w:val="18"/>
                <w:szCs w:val="18"/>
              </w:rPr>
            </w:pPr>
          </w:p>
        </w:tc>
        <w:tc>
          <w:tcPr>
            <w:tcW w:w="850" w:type="dxa"/>
            <w:tcBorders>
              <w:top w:val="single" w:color="31849B" w:sz="12" w:space="0"/>
              <w:bottom w:val="nil"/>
            </w:tcBorders>
            <w:shd w:val="clear" w:color="auto" w:fill="B6DDE8"/>
            <w:vAlign w:val="center"/>
          </w:tcPr>
          <w:p>
            <w:pPr>
              <w:jc w:val="center"/>
              <w:rPr>
                <w:spacing w:val="-8"/>
                <w:sz w:val="18"/>
                <w:szCs w:val="18"/>
              </w:rPr>
            </w:pPr>
          </w:p>
        </w:tc>
        <w:tc>
          <w:tcPr>
            <w:tcW w:w="850" w:type="dxa"/>
            <w:tcBorders>
              <w:top w:val="single" w:color="31849B" w:sz="12" w:space="0"/>
              <w:bottom w:val="nil"/>
            </w:tcBorders>
            <w:shd w:val="clear" w:color="auto" w:fill="B6DDE8"/>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vAlign w:val="center"/>
          </w:tcPr>
          <w:p>
            <w:pPr>
              <w:jc w:val="center"/>
              <w:rPr>
                <w:bCs/>
                <w:spacing w:val="-8"/>
                <w:sz w:val="18"/>
                <w:szCs w:val="18"/>
              </w:rPr>
            </w:pPr>
            <w:r>
              <w:rPr>
                <w:bCs/>
                <w:spacing w:val="-8"/>
                <w:sz w:val="18"/>
                <w:szCs w:val="18"/>
              </w:rPr>
              <w:t>恢复力</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0.027</w:t>
            </w:r>
          </w:p>
        </w:tc>
        <w:tc>
          <w:tcPr>
            <w:tcW w:w="850" w:type="dxa"/>
            <w:tcBorders>
              <w:top w:val="nil"/>
              <w:left w:val="nil"/>
              <w:bottom w:val="nil"/>
              <w:right w:val="nil"/>
            </w:tcBorders>
            <w:vAlign w:val="center"/>
          </w:tcPr>
          <w:p>
            <w:pPr>
              <w:jc w:val="center"/>
              <w:rPr>
                <w:spacing w:val="-8"/>
                <w:sz w:val="18"/>
                <w:szCs w:val="18"/>
              </w:rPr>
            </w:pPr>
            <w:r>
              <w:rPr>
                <w:spacing w:val="-8"/>
                <w:sz w:val="18"/>
                <w:szCs w:val="18"/>
              </w:rPr>
              <w:t>1.000</w:t>
            </w:r>
          </w:p>
        </w:tc>
        <w:tc>
          <w:tcPr>
            <w:tcW w:w="850"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right w:val="nil"/>
            </w:tcBorders>
            <w:vAlign w:val="center"/>
          </w:tcPr>
          <w:p>
            <w:pPr>
              <w:jc w:val="center"/>
              <w:rPr>
                <w:spacing w:val="-8"/>
                <w:sz w:val="18"/>
                <w:szCs w:val="18"/>
              </w:rPr>
            </w:pPr>
          </w:p>
        </w:tc>
        <w:tc>
          <w:tcPr>
            <w:tcW w:w="1077" w:type="dxa"/>
            <w:tcBorders>
              <w:top w:val="nil"/>
              <w:left w:val="nil"/>
              <w:bottom w:val="nil"/>
              <w:right w:val="nil"/>
            </w:tcBorders>
            <w:vAlign w:val="center"/>
          </w:tcPr>
          <w:p>
            <w:pPr>
              <w:jc w:val="center"/>
              <w:rPr>
                <w:spacing w:val="-8"/>
                <w:sz w:val="18"/>
                <w:szCs w:val="18"/>
              </w:rPr>
            </w:pPr>
          </w:p>
        </w:tc>
        <w:tc>
          <w:tcPr>
            <w:tcW w:w="1077"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tcBorders>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shd w:val="clear" w:color="auto" w:fill="B6DDE8"/>
            <w:vAlign w:val="center"/>
          </w:tcPr>
          <w:p>
            <w:pPr>
              <w:jc w:val="center"/>
              <w:rPr>
                <w:bCs/>
                <w:spacing w:val="-8"/>
                <w:sz w:val="18"/>
                <w:szCs w:val="18"/>
              </w:rPr>
            </w:pPr>
            <w:r>
              <w:rPr>
                <w:bCs/>
                <w:spacing w:val="-8"/>
                <w:sz w:val="18"/>
                <w:szCs w:val="18"/>
              </w:rPr>
              <w:t>稳定性</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0.184</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0.376</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1.000</w:t>
            </w:r>
          </w:p>
        </w:tc>
        <w:tc>
          <w:tcPr>
            <w:tcW w:w="850" w:type="dxa"/>
            <w:tcBorders>
              <w:top w:val="nil"/>
              <w:left w:val="nil"/>
              <w:bottom w:val="nil"/>
              <w:right w:val="nil"/>
            </w:tcBorders>
            <w:shd w:val="clear" w:color="auto" w:fill="B6DDE8"/>
            <w:vAlign w:val="center"/>
          </w:tcPr>
          <w:p>
            <w:pPr>
              <w:jc w:val="center"/>
              <w:rPr>
                <w:spacing w:val="-8"/>
                <w:sz w:val="18"/>
                <w:szCs w:val="18"/>
              </w:rPr>
            </w:pPr>
          </w:p>
        </w:tc>
        <w:tc>
          <w:tcPr>
            <w:tcW w:w="850" w:type="dxa"/>
            <w:tcBorders>
              <w:top w:val="nil"/>
              <w:left w:val="nil"/>
              <w:bottom w:val="nil"/>
              <w:right w:val="nil"/>
            </w:tcBorders>
            <w:shd w:val="clear" w:color="auto" w:fill="B6DDE8"/>
            <w:vAlign w:val="center"/>
          </w:tcPr>
          <w:p>
            <w:pPr>
              <w:jc w:val="center"/>
              <w:rPr>
                <w:spacing w:val="-8"/>
                <w:sz w:val="18"/>
                <w:szCs w:val="18"/>
              </w:rPr>
            </w:pPr>
          </w:p>
        </w:tc>
        <w:tc>
          <w:tcPr>
            <w:tcW w:w="1077" w:type="dxa"/>
            <w:tcBorders>
              <w:top w:val="nil"/>
              <w:left w:val="nil"/>
              <w:bottom w:val="nil"/>
              <w:right w:val="nil"/>
            </w:tcBorders>
            <w:shd w:val="clear" w:color="auto" w:fill="B6DDE8"/>
            <w:vAlign w:val="center"/>
          </w:tcPr>
          <w:p>
            <w:pPr>
              <w:jc w:val="center"/>
              <w:rPr>
                <w:spacing w:val="-8"/>
                <w:sz w:val="18"/>
                <w:szCs w:val="18"/>
              </w:rPr>
            </w:pPr>
          </w:p>
        </w:tc>
        <w:tc>
          <w:tcPr>
            <w:tcW w:w="1077" w:type="dxa"/>
            <w:tcBorders>
              <w:top w:val="nil"/>
              <w:left w:val="nil"/>
              <w:bottom w:val="nil"/>
              <w:right w:val="nil"/>
            </w:tcBorders>
            <w:shd w:val="clear" w:color="auto" w:fill="B6DDE8"/>
            <w:vAlign w:val="center"/>
          </w:tcPr>
          <w:p>
            <w:pPr>
              <w:jc w:val="center"/>
              <w:rPr>
                <w:spacing w:val="-8"/>
                <w:sz w:val="18"/>
                <w:szCs w:val="18"/>
              </w:rPr>
            </w:pPr>
          </w:p>
        </w:tc>
        <w:tc>
          <w:tcPr>
            <w:tcW w:w="850" w:type="dxa"/>
            <w:tcBorders>
              <w:top w:val="nil"/>
              <w:left w:val="nil"/>
              <w:bottom w:val="nil"/>
              <w:right w:val="nil"/>
            </w:tcBorders>
            <w:shd w:val="clear" w:color="auto" w:fill="B6DDE8"/>
            <w:vAlign w:val="center"/>
          </w:tcPr>
          <w:p>
            <w:pPr>
              <w:jc w:val="center"/>
              <w:rPr>
                <w:spacing w:val="-8"/>
                <w:sz w:val="18"/>
                <w:szCs w:val="18"/>
              </w:rPr>
            </w:pPr>
          </w:p>
        </w:tc>
        <w:tc>
          <w:tcPr>
            <w:tcW w:w="850" w:type="dxa"/>
            <w:tcBorders>
              <w:top w:val="nil"/>
              <w:left w:val="nil"/>
              <w:bottom w:val="nil"/>
            </w:tcBorders>
            <w:shd w:val="clear" w:color="auto" w:fill="B6DDE8"/>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vAlign w:val="center"/>
          </w:tcPr>
          <w:p>
            <w:pPr>
              <w:jc w:val="center"/>
              <w:rPr>
                <w:bCs/>
                <w:spacing w:val="-8"/>
                <w:sz w:val="18"/>
                <w:szCs w:val="18"/>
              </w:rPr>
            </w:pPr>
            <w:r>
              <w:rPr>
                <w:bCs/>
                <w:spacing w:val="-8"/>
                <w:sz w:val="18"/>
                <w:szCs w:val="18"/>
              </w:rPr>
              <w:t>pH</w:t>
            </w:r>
          </w:p>
        </w:tc>
        <w:tc>
          <w:tcPr>
            <w:tcW w:w="850" w:type="dxa"/>
            <w:tcBorders>
              <w:top w:val="nil"/>
              <w:left w:val="nil"/>
              <w:bottom w:val="nil"/>
              <w:right w:val="nil"/>
            </w:tcBorders>
            <w:vAlign w:val="center"/>
          </w:tcPr>
          <w:p>
            <w:pPr>
              <w:jc w:val="center"/>
              <w:rPr>
                <w:bCs/>
                <w:spacing w:val="-8"/>
                <w:sz w:val="18"/>
                <w:szCs w:val="18"/>
              </w:rPr>
            </w:pPr>
            <w:r>
              <w:rPr>
                <w:bCs/>
                <w:spacing w:val="-8"/>
                <w:sz w:val="18"/>
                <w:szCs w:val="18"/>
              </w:rPr>
              <w:t>0.394</w:t>
            </w:r>
            <w:r>
              <w:rPr>
                <w:spacing w:val="-8"/>
                <w:sz w:val="18"/>
                <w:szCs w:val="18"/>
              </w:rPr>
              <w:t>*</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0.070</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0.015</w:t>
            </w:r>
          </w:p>
        </w:tc>
        <w:tc>
          <w:tcPr>
            <w:tcW w:w="850" w:type="dxa"/>
            <w:tcBorders>
              <w:top w:val="nil"/>
              <w:left w:val="nil"/>
              <w:bottom w:val="nil"/>
              <w:right w:val="nil"/>
            </w:tcBorders>
            <w:vAlign w:val="center"/>
          </w:tcPr>
          <w:p>
            <w:pPr>
              <w:jc w:val="center"/>
              <w:rPr>
                <w:spacing w:val="-8"/>
                <w:sz w:val="18"/>
                <w:szCs w:val="18"/>
              </w:rPr>
            </w:pPr>
            <w:r>
              <w:rPr>
                <w:spacing w:val="-8"/>
                <w:sz w:val="18"/>
                <w:szCs w:val="18"/>
              </w:rPr>
              <w:t>1.000</w:t>
            </w:r>
          </w:p>
        </w:tc>
        <w:tc>
          <w:tcPr>
            <w:tcW w:w="850" w:type="dxa"/>
            <w:tcBorders>
              <w:top w:val="nil"/>
              <w:left w:val="nil"/>
              <w:bottom w:val="nil"/>
              <w:right w:val="nil"/>
            </w:tcBorders>
            <w:vAlign w:val="center"/>
          </w:tcPr>
          <w:p>
            <w:pPr>
              <w:jc w:val="center"/>
              <w:rPr>
                <w:spacing w:val="-8"/>
                <w:sz w:val="18"/>
                <w:szCs w:val="18"/>
              </w:rPr>
            </w:pPr>
          </w:p>
        </w:tc>
        <w:tc>
          <w:tcPr>
            <w:tcW w:w="1077" w:type="dxa"/>
            <w:tcBorders>
              <w:top w:val="nil"/>
              <w:left w:val="nil"/>
              <w:bottom w:val="nil"/>
              <w:right w:val="nil"/>
            </w:tcBorders>
            <w:vAlign w:val="center"/>
          </w:tcPr>
          <w:p>
            <w:pPr>
              <w:jc w:val="center"/>
              <w:rPr>
                <w:spacing w:val="-8"/>
                <w:sz w:val="18"/>
                <w:szCs w:val="18"/>
              </w:rPr>
            </w:pPr>
          </w:p>
        </w:tc>
        <w:tc>
          <w:tcPr>
            <w:tcW w:w="1077"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tcBorders>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shd w:val="clear" w:color="auto" w:fill="B6DDE8"/>
            <w:vAlign w:val="center"/>
          </w:tcPr>
          <w:p>
            <w:pPr>
              <w:jc w:val="center"/>
              <w:rPr>
                <w:bCs/>
                <w:spacing w:val="-8"/>
                <w:sz w:val="18"/>
                <w:szCs w:val="18"/>
              </w:rPr>
            </w:pPr>
            <w:r>
              <w:rPr>
                <w:bCs/>
                <w:spacing w:val="-8"/>
                <w:sz w:val="18"/>
                <w:szCs w:val="18"/>
              </w:rPr>
              <w:t>C/N</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-0.051</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0.279</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-0.346</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0.445*</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1.000</w:t>
            </w:r>
          </w:p>
        </w:tc>
        <w:tc>
          <w:tcPr>
            <w:tcW w:w="1077" w:type="dxa"/>
            <w:tcBorders>
              <w:top w:val="nil"/>
              <w:left w:val="nil"/>
              <w:bottom w:val="nil"/>
              <w:right w:val="nil"/>
            </w:tcBorders>
            <w:shd w:val="clear" w:color="auto" w:fill="B6DDE8"/>
            <w:vAlign w:val="center"/>
          </w:tcPr>
          <w:p>
            <w:pPr>
              <w:jc w:val="center"/>
              <w:rPr>
                <w:spacing w:val="-8"/>
                <w:sz w:val="18"/>
                <w:szCs w:val="18"/>
              </w:rPr>
            </w:pPr>
          </w:p>
        </w:tc>
        <w:tc>
          <w:tcPr>
            <w:tcW w:w="1077" w:type="dxa"/>
            <w:tcBorders>
              <w:top w:val="nil"/>
              <w:left w:val="nil"/>
              <w:bottom w:val="nil"/>
              <w:right w:val="nil"/>
            </w:tcBorders>
            <w:shd w:val="clear" w:color="auto" w:fill="B6DDE8"/>
            <w:vAlign w:val="center"/>
          </w:tcPr>
          <w:p>
            <w:pPr>
              <w:jc w:val="center"/>
              <w:rPr>
                <w:spacing w:val="-8"/>
                <w:sz w:val="18"/>
                <w:szCs w:val="18"/>
              </w:rPr>
            </w:pPr>
          </w:p>
        </w:tc>
        <w:tc>
          <w:tcPr>
            <w:tcW w:w="850" w:type="dxa"/>
            <w:tcBorders>
              <w:top w:val="nil"/>
              <w:left w:val="nil"/>
              <w:bottom w:val="nil"/>
              <w:right w:val="nil"/>
            </w:tcBorders>
            <w:shd w:val="clear" w:color="auto" w:fill="B6DDE8"/>
            <w:vAlign w:val="center"/>
          </w:tcPr>
          <w:p>
            <w:pPr>
              <w:jc w:val="center"/>
              <w:rPr>
                <w:spacing w:val="-8"/>
                <w:sz w:val="18"/>
                <w:szCs w:val="18"/>
              </w:rPr>
            </w:pPr>
          </w:p>
        </w:tc>
        <w:tc>
          <w:tcPr>
            <w:tcW w:w="850" w:type="dxa"/>
            <w:tcBorders>
              <w:top w:val="nil"/>
              <w:left w:val="nil"/>
              <w:bottom w:val="nil"/>
            </w:tcBorders>
            <w:shd w:val="clear" w:color="auto" w:fill="B6DDE8"/>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vAlign w:val="center"/>
          </w:tcPr>
          <w:p>
            <w:pPr>
              <w:jc w:val="center"/>
              <w:rPr>
                <w:bCs/>
                <w:spacing w:val="-8"/>
                <w:sz w:val="18"/>
                <w:szCs w:val="18"/>
              </w:rPr>
            </w:pPr>
            <w:r>
              <w:rPr>
                <w:bCs/>
                <w:spacing w:val="-8"/>
                <w:sz w:val="18"/>
                <w:szCs w:val="18"/>
              </w:rPr>
              <w:t>沙粒含量</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0.068</w:t>
            </w:r>
          </w:p>
        </w:tc>
        <w:tc>
          <w:tcPr>
            <w:tcW w:w="850" w:type="dxa"/>
            <w:tcBorders>
              <w:top w:val="nil"/>
              <w:left w:val="nil"/>
              <w:bottom w:val="nil"/>
              <w:right w:val="nil"/>
            </w:tcBorders>
            <w:vAlign w:val="center"/>
          </w:tcPr>
          <w:p>
            <w:pPr>
              <w:jc w:val="center"/>
              <w:rPr>
                <w:bCs/>
                <w:spacing w:val="-8"/>
                <w:sz w:val="18"/>
                <w:szCs w:val="18"/>
              </w:rPr>
            </w:pPr>
            <w:r>
              <w:rPr>
                <w:bCs/>
                <w:spacing w:val="-8"/>
                <w:sz w:val="18"/>
                <w:szCs w:val="18"/>
              </w:rPr>
              <w:t>-0.688**</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-0.096</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-0.065</w:t>
            </w:r>
          </w:p>
        </w:tc>
        <w:tc>
          <w:tcPr>
            <w:tcW w:w="850" w:type="dxa"/>
            <w:tcBorders>
              <w:top w:val="nil"/>
              <w:left w:val="nil"/>
              <w:bottom w:val="nil"/>
              <w:right w:val="nil"/>
            </w:tcBorders>
            <w:vAlign w:val="center"/>
          </w:tcPr>
          <w:p>
            <w:pPr>
              <w:jc w:val="center"/>
              <w:rPr>
                <w:spacing w:val="-8"/>
                <w:sz w:val="18"/>
                <w:szCs w:val="18"/>
              </w:rPr>
            </w:pPr>
            <w:r>
              <w:rPr>
                <w:spacing w:val="-8"/>
                <w:sz w:val="18"/>
                <w:szCs w:val="18"/>
              </w:rPr>
              <w:t>-0.508</w:t>
            </w:r>
          </w:p>
        </w:tc>
        <w:tc>
          <w:tcPr>
            <w:tcW w:w="1077" w:type="dxa"/>
            <w:tcBorders>
              <w:top w:val="nil"/>
              <w:left w:val="nil"/>
              <w:bottom w:val="nil"/>
              <w:right w:val="nil"/>
            </w:tcBorders>
            <w:vAlign w:val="center"/>
          </w:tcPr>
          <w:p>
            <w:pPr>
              <w:jc w:val="center"/>
              <w:rPr>
                <w:spacing w:val="-8"/>
                <w:sz w:val="18"/>
                <w:szCs w:val="18"/>
              </w:rPr>
            </w:pPr>
            <w:r>
              <w:rPr>
                <w:spacing w:val="-8"/>
                <w:sz w:val="18"/>
                <w:szCs w:val="18"/>
              </w:rPr>
              <w:t>1.000</w:t>
            </w:r>
          </w:p>
        </w:tc>
        <w:tc>
          <w:tcPr>
            <w:tcW w:w="1077"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right w:val="nil"/>
            </w:tcBorders>
            <w:vAlign w:val="center"/>
          </w:tcPr>
          <w:p>
            <w:pPr>
              <w:jc w:val="center"/>
              <w:rPr>
                <w:spacing w:val="-8"/>
                <w:sz w:val="18"/>
                <w:szCs w:val="18"/>
              </w:rPr>
            </w:pPr>
          </w:p>
        </w:tc>
        <w:tc>
          <w:tcPr>
            <w:tcW w:w="850" w:type="dxa"/>
            <w:tcBorders>
              <w:top w:val="nil"/>
              <w:left w:val="nil"/>
              <w:bottom w:val="nil"/>
            </w:tcBorders>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shd w:val="clear" w:color="auto" w:fill="B6DDE8"/>
            <w:vAlign w:val="center"/>
          </w:tcPr>
          <w:p>
            <w:pPr>
              <w:jc w:val="center"/>
              <w:rPr>
                <w:bCs/>
                <w:spacing w:val="-8"/>
                <w:sz w:val="18"/>
                <w:szCs w:val="18"/>
              </w:rPr>
            </w:pPr>
            <w:r>
              <w:rPr>
                <w:bCs/>
                <w:spacing w:val="-8"/>
                <w:sz w:val="18"/>
                <w:szCs w:val="18"/>
              </w:rPr>
              <w:t>粘粒含量</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-0.393</w:t>
            </w:r>
          </w:p>
        </w:tc>
        <w:tc>
          <w:tcPr>
            <w:tcW w:w="850" w:type="dxa"/>
            <w:tcBorders>
              <w:top w:val="nil"/>
              <w:left w:val="nil"/>
              <w:bottom w:val="nil"/>
              <w:right w:val="nil"/>
            </w:tcBorders>
            <w:shd w:val="clear" w:color="auto" w:fill="B6DDE8"/>
            <w:vAlign w:val="center"/>
          </w:tcPr>
          <w:p>
            <w:pPr>
              <w:jc w:val="center"/>
              <w:rPr>
                <w:bCs/>
                <w:spacing w:val="-8"/>
                <w:sz w:val="18"/>
                <w:szCs w:val="18"/>
              </w:rPr>
            </w:pPr>
            <w:r>
              <w:rPr>
                <w:spacing w:val="-8"/>
                <w:sz w:val="18"/>
                <w:szCs w:val="18"/>
              </w:rPr>
              <w:t>0.097</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0.125</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-0.614**</w:t>
            </w:r>
          </w:p>
        </w:tc>
        <w:tc>
          <w:tcPr>
            <w:tcW w:w="850"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-0.226</w:t>
            </w:r>
          </w:p>
        </w:tc>
        <w:tc>
          <w:tcPr>
            <w:tcW w:w="1077"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-0.217</w:t>
            </w:r>
          </w:p>
        </w:tc>
        <w:tc>
          <w:tcPr>
            <w:tcW w:w="1077" w:type="dxa"/>
            <w:tcBorders>
              <w:top w:val="nil"/>
              <w:left w:val="nil"/>
              <w:bottom w:val="nil"/>
              <w:right w:val="nil"/>
            </w:tcBorders>
            <w:shd w:val="clear" w:color="auto" w:fill="B6DDE8"/>
            <w:vAlign w:val="center"/>
          </w:tcPr>
          <w:p>
            <w:pPr>
              <w:jc w:val="center"/>
              <w:rPr>
                <w:spacing w:val="-8"/>
                <w:sz w:val="18"/>
                <w:szCs w:val="18"/>
              </w:rPr>
            </w:pPr>
            <w:r>
              <w:rPr>
                <w:spacing w:val="-8"/>
                <w:sz w:val="18"/>
                <w:szCs w:val="18"/>
              </w:rPr>
              <w:t>1.000</w:t>
            </w:r>
          </w:p>
        </w:tc>
        <w:tc>
          <w:tcPr>
            <w:tcW w:w="850" w:type="dxa"/>
            <w:tcBorders>
              <w:top w:val="nil"/>
              <w:left w:val="nil"/>
              <w:bottom w:val="nil"/>
              <w:right w:val="nil"/>
            </w:tcBorders>
            <w:shd w:val="clear" w:color="auto" w:fill="B6DDE8"/>
            <w:vAlign w:val="center"/>
          </w:tcPr>
          <w:p>
            <w:pPr>
              <w:jc w:val="center"/>
              <w:rPr>
                <w:spacing w:val="-8"/>
                <w:sz w:val="18"/>
                <w:szCs w:val="18"/>
              </w:rPr>
            </w:pPr>
          </w:p>
        </w:tc>
        <w:tc>
          <w:tcPr>
            <w:tcW w:w="850" w:type="dxa"/>
            <w:tcBorders>
              <w:top w:val="nil"/>
              <w:left w:val="nil"/>
              <w:bottom w:val="nil"/>
            </w:tcBorders>
            <w:shd w:val="clear" w:color="auto" w:fill="B6DDE8"/>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nil"/>
              <w:right w:val="nil"/>
            </w:tcBorders>
            <w:shd w:val="clear" w:color="auto" w:fill="FFFFFF"/>
            <w:vAlign w:val="center"/>
          </w:tcPr>
          <w:p>
            <w:pPr>
              <w:jc w:val="center"/>
              <w:rPr>
                <w:bCs/>
                <w:spacing w:val="-8"/>
                <w:sz w:val="18"/>
                <w:szCs w:val="18"/>
              </w:rPr>
            </w:pPr>
            <w:r>
              <w:rPr>
                <w:bCs/>
                <w:spacing w:val="-8"/>
                <w:sz w:val="18"/>
                <w:szCs w:val="18"/>
              </w:rPr>
              <w:t>CEC</w:t>
            </w:r>
          </w:p>
        </w:tc>
        <w:tc>
          <w:tcPr>
            <w:tcW w:w="850"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0.285</w:t>
            </w:r>
          </w:p>
        </w:tc>
        <w:tc>
          <w:tcPr>
            <w:tcW w:w="850"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0.208</w:t>
            </w:r>
          </w:p>
        </w:tc>
        <w:tc>
          <w:tcPr>
            <w:tcW w:w="850"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0.077</w:t>
            </w:r>
          </w:p>
        </w:tc>
        <w:tc>
          <w:tcPr>
            <w:tcW w:w="850"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0.780**</w:t>
            </w:r>
          </w:p>
        </w:tc>
        <w:tc>
          <w:tcPr>
            <w:tcW w:w="850"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0.429*</w:t>
            </w:r>
          </w:p>
        </w:tc>
        <w:tc>
          <w:tcPr>
            <w:tcW w:w="1077"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-0.198</w:t>
            </w:r>
          </w:p>
        </w:tc>
        <w:tc>
          <w:tcPr>
            <w:tcW w:w="1077"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-0.263</w:t>
            </w:r>
          </w:p>
        </w:tc>
        <w:tc>
          <w:tcPr>
            <w:tcW w:w="850" w:type="dxa"/>
            <w:tcBorders>
              <w:top w:val="nil"/>
              <w:left w:val="nil"/>
              <w:bottom w:val="nil"/>
              <w:right w:val="nil"/>
            </w:tcBorders>
            <w:shd w:val="clear" w:color="auto" w:fill="FFFFFF"/>
            <w:vAlign w:val="center"/>
          </w:tcPr>
          <w:p>
            <w:pPr>
              <w:jc w:val="center"/>
              <w:rPr>
                <w:spacing w:val="-8"/>
                <w:sz w:val="18"/>
                <w:szCs w:val="18"/>
              </w:rPr>
            </w:pPr>
            <w:r>
              <w:rPr>
                <w:spacing w:val="-8"/>
                <w:sz w:val="18"/>
                <w:szCs w:val="18"/>
              </w:rPr>
              <w:t>1.000</w:t>
            </w:r>
          </w:p>
        </w:tc>
        <w:tc>
          <w:tcPr>
            <w:tcW w:w="850" w:type="dxa"/>
            <w:tcBorders>
              <w:top w:val="nil"/>
              <w:left w:val="nil"/>
              <w:bottom w:val="nil"/>
            </w:tcBorders>
            <w:shd w:val="clear" w:color="auto" w:fill="FFFFFF"/>
            <w:vAlign w:val="center"/>
          </w:tcPr>
          <w:p>
            <w:pPr>
              <w:jc w:val="center"/>
              <w:rPr>
                <w:spacing w:val="-8"/>
                <w:sz w:val="18"/>
                <w:szCs w:val="18"/>
              </w:rPr>
            </w:pP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020" w:type="dxa"/>
            <w:tcBorders>
              <w:top w:val="nil"/>
              <w:bottom w:val="single" w:color="31849B" w:sz="12" w:space="0"/>
              <w:right w:val="nil"/>
            </w:tcBorders>
            <w:shd w:val="clear" w:color="auto" w:fill="B6DDE8"/>
            <w:vAlign w:val="center"/>
          </w:tcPr>
          <w:p>
            <w:pPr>
              <w:jc w:val="center"/>
              <w:rPr>
                <w:bCs/>
                <w:spacing w:val="-8"/>
                <w:sz w:val="18"/>
                <w:szCs w:val="18"/>
              </w:rPr>
            </w:pPr>
            <w:r>
              <w:rPr>
                <w:bCs/>
                <w:spacing w:val="-8"/>
                <w:sz w:val="18"/>
                <w:szCs w:val="18"/>
              </w:rPr>
              <w:t>DOC</w:t>
            </w:r>
          </w:p>
        </w:tc>
        <w:tc>
          <w:tcPr>
            <w:tcW w:w="850" w:type="dxa"/>
            <w:tcBorders>
              <w:top w:val="nil"/>
              <w:left w:val="nil"/>
              <w:bottom w:val="single" w:color="31849B" w:sz="12" w:space="0"/>
            </w:tcBorders>
            <w:shd w:val="clear" w:color="auto" w:fill="B6DDE8"/>
            <w:vAlign w:val="center"/>
          </w:tcPr>
          <w:p>
            <w:pPr>
              <w:jc w:val="center"/>
              <w:rPr>
                <w:spacing w:val="-8"/>
                <w:sz w:val="18"/>
                <w:szCs w:val="18"/>
              </w:rPr>
            </w:pPr>
            <w:r>
              <w:rPr>
                <w:spacing w:val="-8"/>
                <w:sz w:val="18"/>
                <w:szCs w:val="18"/>
              </w:rPr>
              <w:t>0.244</w:t>
            </w:r>
          </w:p>
        </w:tc>
        <w:tc>
          <w:tcPr>
            <w:tcW w:w="850"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0.277</w:t>
            </w:r>
          </w:p>
        </w:tc>
        <w:tc>
          <w:tcPr>
            <w:tcW w:w="850"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0.307</w:t>
            </w:r>
          </w:p>
        </w:tc>
        <w:tc>
          <w:tcPr>
            <w:tcW w:w="850"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0.078</w:t>
            </w:r>
          </w:p>
        </w:tc>
        <w:tc>
          <w:tcPr>
            <w:tcW w:w="850"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-0.015</w:t>
            </w:r>
          </w:p>
        </w:tc>
        <w:tc>
          <w:tcPr>
            <w:tcW w:w="1077"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0.484</w:t>
            </w:r>
          </w:p>
        </w:tc>
        <w:tc>
          <w:tcPr>
            <w:tcW w:w="1077"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0.177</w:t>
            </w:r>
          </w:p>
        </w:tc>
        <w:tc>
          <w:tcPr>
            <w:tcW w:w="850"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-0.029</w:t>
            </w:r>
          </w:p>
        </w:tc>
        <w:tc>
          <w:tcPr>
            <w:tcW w:w="850" w:type="dxa"/>
            <w:tcBorders>
              <w:top w:val="nil"/>
              <w:bottom w:val="single" w:color="31849B" w:sz="12" w:space="0"/>
            </w:tcBorders>
            <w:shd w:val="clear" w:color="auto" w:fill="B6DDE8"/>
            <w:vAlign w:val="center"/>
          </w:tcPr>
          <w:p>
            <w:pPr>
              <w:jc w:val="center"/>
              <w:rPr>
                <w:spacing w:val="-8"/>
                <w:sz w:val="18"/>
                <w:szCs w:val="18"/>
              </w:rPr>
            </w:pPr>
            <w:r>
              <w:rPr>
                <w:spacing w:val="-8"/>
                <w:sz w:val="18"/>
                <w:szCs w:val="18"/>
              </w:rPr>
              <w:t>1.000</w:t>
            </w:r>
          </w:p>
        </w:tc>
      </w:tr>
    </w:tbl>
    <w:p>
      <w:pPr>
        <w:spacing w:line="320" w:lineRule="exact"/>
        <w:rPr>
          <w:szCs w:val="21"/>
        </w:rPr>
      </w:pPr>
      <w:r>
        <w:rPr>
          <w:szCs w:val="21"/>
        </w:rPr>
        <w:t>*  在0.05水平（双侧）上显著相关；</w:t>
      </w:r>
    </w:p>
    <w:p>
      <w:pPr>
        <w:widowControl/>
        <w:jc w:val="left"/>
        <w:rPr>
          <w:szCs w:val="21"/>
        </w:rPr>
      </w:pPr>
      <w:r>
        <w:rPr>
          <w:szCs w:val="21"/>
        </w:rPr>
        <w:t>** 在0.01水平（双侧）上显著相关。</w:t>
      </w:r>
      <w:bookmarkStart w:id="64" w:name="_Toc417832568"/>
      <w:r>
        <w:rPr>
          <w:szCs w:val="21"/>
        </w:rPr>
        <w:br w:type="page"/>
      </w:r>
    </w:p>
    <w:p>
      <w:pPr>
        <w:pStyle w:val="60"/>
        <w:numPr>
          <w:ilvl w:val="0"/>
          <w:numId w:val="7"/>
        </w:numPr>
        <w:spacing w:before="120" w:after="120" w:line="320" w:lineRule="exact"/>
        <w:ind w:left="840" w:leftChars="200"/>
        <w:outlineLvl w:val="2"/>
        <w:rPr>
          <w:rFonts w:ascii="仿宋_GB2312" w:eastAsia="仿宋_GB2312"/>
          <w:b w:val="0"/>
          <w:sz w:val="24"/>
          <w:szCs w:val="24"/>
        </w:rPr>
      </w:pPr>
      <w:bookmarkStart w:id="65" w:name="_Toc421887803"/>
      <w:r>
        <w:rPr>
          <w:rFonts w:ascii="仿宋_GB2312" w:eastAsia="仿宋_GB2312"/>
          <w:b w:val="0"/>
          <w:sz w:val="24"/>
          <w:szCs w:val="24"/>
        </w:rPr>
        <w:t>回归模型构建</w:t>
      </w:r>
      <w:bookmarkEnd w:id="64"/>
      <w:bookmarkEnd w:id="65"/>
    </w:p>
    <w:p>
      <w:pPr>
        <w:pStyle w:val="41"/>
        <w:spacing w:line="320" w:lineRule="exact"/>
        <w:rPr>
          <w:szCs w:val="21"/>
        </w:rPr>
      </w:pPr>
      <w:r>
        <w:rPr>
          <w:szCs w:val="21"/>
        </w:rPr>
        <w:t>回归分析是一种应用极为广泛的数理统计方法，常用于分析变量之间的关系及变化规律，并通过回归方程的形式测度变量间的影响程度</w:t>
      </w:r>
      <w:r>
        <w:rPr>
          <w:szCs w:val="21"/>
          <w:vertAlign w:val="superscript"/>
        </w:rPr>
        <w:t>[22]</w:t>
      </w:r>
      <w:r>
        <w:rPr>
          <w:szCs w:val="21"/>
        </w:rPr>
        <w:t>。本研究为阐明土壤抵抗力、恢复力及功能稳定性的关键影响因子的关系，构建了回归模型。</w:t>
      </w:r>
    </w:p>
    <w:p>
      <w:pPr>
        <w:pStyle w:val="41"/>
        <w:spacing w:line="320" w:lineRule="exact"/>
        <w:rPr>
          <w:szCs w:val="21"/>
        </w:rPr>
      </w:pPr>
      <w:r>
        <w:rPr>
          <w:szCs w:val="21"/>
        </w:rPr>
        <w:t>模型构建过程中，变量的选择直接影响回归模型的拟合能力与预测能力，鉴于上节结论，本研究选择抵抗力与其显著相关的要素pH以及恢复力和其显著相关的沙粒含量进行数学模型构建。为选出最优模型，分别算出各模型对应的AIC值、可决系数R</w:t>
      </w:r>
      <w:r>
        <w:rPr>
          <w:szCs w:val="21"/>
          <w:vertAlign w:val="superscript"/>
        </w:rPr>
        <w:t>2</w:t>
      </w:r>
      <w:r>
        <w:rPr>
          <w:szCs w:val="21"/>
        </w:rPr>
        <w:t>。其中，以AIC值最小、可决系数R</w:t>
      </w:r>
      <w:r>
        <w:rPr>
          <w:szCs w:val="21"/>
          <w:vertAlign w:val="superscript"/>
        </w:rPr>
        <w:t>2</w:t>
      </w:r>
      <w:r>
        <w:rPr>
          <w:szCs w:val="21"/>
        </w:rPr>
        <w:t>最大、F检验显著性P最小为较优模型</w:t>
      </w:r>
      <w:r>
        <w:rPr>
          <w:szCs w:val="21"/>
          <w:vertAlign w:val="superscript"/>
        </w:rPr>
        <w:t>[23]</w:t>
      </w:r>
      <w:r>
        <w:rPr>
          <w:szCs w:val="21"/>
        </w:rPr>
        <w:t>。</w:t>
      </w:r>
      <w:bookmarkStart w:id="66" w:name="_Toc417832569"/>
    </w:p>
    <w:p>
      <w:pPr>
        <w:pStyle w:val="48"/>
        <w:numPr>
          <w:ilvl w:val="0"/>
          <w:numId w:val="9"/>
        </w:numPr>
        <w:spacing w:beforeLines="50" w:afterLines="50" w:line="320" w:lineRule="exact"/>
        <w:ind w:left="840" w:leftChars="200" w:firstLineChars="0"/>
        <w:outlineLvl w:val="3"/>
        <w:rPr>
          <w:bCs/>
        </w:rPr>
      </w:pPr>
      <w:bookmarkStart w:id="67" w:name="_Toc421887804"/>
      <w:r>
        <w:rPr>
          <w:bCs/>
        </w:rPr>
        <w:t>pH与抵抗力</w:t>
      </w:r>
      <w:bookmarkEnd w:id="66"/>
      <w:bookmarkEnd w:id="67"/>
    </w:p>
    <w:p>
      <w:pPr>
        <w:spacing w:line="320" w:lineRule="exact"/>
        <w:ind w:firstLine="420" w:firstLineChars="200"/>
        <w:rPr>
          <w:szCs w:val="21"/>
        </w:rPr>
      </w:pPr>
      <w:r>
        <w:rPr>
          <w:szCs w:val="21"/>
        </w:rPr>
        <w:t>根据pH及其对应土壤抵抗力的实验数据，借助Origin 8.0绘制抵抗力随pH变化的散点图并构建模型。采用AIC准则及可决系数R</w:t>
      </w:r>
      <w:r>
        <w:rPr>
          <w:szCs w:val="21"/>
          <w:vertAlign w:val="superscript"/>
        </w:rPr>
        <w:t>2</w:t>
      </w:r>
      <w:r>
        <w:rPr>
          <w:szCs w:val="21"/>
        </w:rPr>
        <w:t>数值进行不同模型类型的结果比较（如表7），在所构建的线性、指数、多项式及对数模型中，线性拟合的AIC值最小，可决系数R</w:t>
      </w:r>
      <w:r>
        <w:rPr>
          <w:szCs w:val="21"/>
          <w:vertAlign w:val="superscript"/>
        </w:rPr>
        <w:t>2</w:t>
      </w:r>
      <w:r>
        <w:rPr>
          <w:szCs w:val="21"/>
        </w:rPr>
        <w:t>最大，F检验显著性P＜0</w:t>
      </w:r>
      <w:r>
        <w:rPr>
          <w:i/>
          <w:iCs/>
          <w:szCs w:val="21"/>
        </w:rPr>
        <w:t>.</w:t>
      </w:r>
      <w:r>
        <w:rPr>
          <w:szCs w:val="21"/>
        </w:rPr>
        <w:t>05，被视为描述抵抗力随pH动态变化的最优量化表征模型（如图6），其方程为：</w:t>
      </w:r>
      <w:r>
        <w:rPr>
          <w:spacing w:val="-4"/>
          <w:szCs w:val="21"/>
        </w:rPr>
        <w:fldChar w:fldCharType="begin"/>
      </w:r>
      <w:r>
        <w:rPr>
          <w:spacing w:val="-4"/>
          <w:szCs w:val="21"/>
        </w:rPr>
        <w:instrText xml:space="preserve"> QUOTE  </w:instrText>
      </w:r>
      <w:r>
        <w:rPr>
          <w:spacing w:val="-4"/>
          <w:szCs w:val="21"/>
        </w:rPr>
        <w:fldChar w:fldCharType="end"/>
      </w:r>
      <w:r>
        <w:rPr>
          <w:spacing w:val="-4"/>
          <w:szCs w:val="21"/>
        </w:rPr>
        <w:t>y=0.059x+0.401，R</w:t>
      </w:r>
      <w:r>
        <w:rPr>
          <w:spacing w:val="-4"/>
          <w:szCs w:val="21"/>
          <w:vertAlign w:val="superscript"/>
        </w:rPr>
        <w:t>2</w:t>
      </w:r>
      <w:r>
        <w:rPr>
          <w:spacing w:val="-4"/>
          <w:szCs w:val="21"/>
        </w:rPr>
        <w:t>=0.717</w:t>
      </w:r>
      <w:r>
        <w:rPr>
          <w:szCs w:val="21"/>
        </w:rPr>
        <w:t>。</w:t>
      </w:r>
    </w:p>
    <w:p>
      <w:pPr>
        <w:spacing w:beforeLines="50" w:afterLines="50" w:line="320" w:lineRule="exact"/>
        <w:ind w:firstLine="360" w:firstLineChars="200"/>
        <w:jc w:val="center"/>
        <w:rPr>
          <w:sz w:val="18"/>
          <w:szCs w:val="18"/>
        </w:rPr>
      </w:pPr>
      <w:r>
        <w:rPr>
          <w:sz w:val="18"/>
          <w:szCs w:val="18"/>
        </w:rPr>
        <w:t>表7 pH与抵抗力的回归方程模拟误差比较</w:t>
      </w:r>
    </w:p>
    <w:tbl>
      <w:tblPr>
        <w:tblStyle w:val="39"/>
        <w:tblW w:w="8435" w:type="dxa"/>
        <w:jc w:val="center"/>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
      <w:tblGrid>
        <w:gridCol w:w="1320"/>
        <w:gridCol w:w="2893"/>
        <w:gridCol w:w="1171"/>
        <w:gridCol w:w="1171"/>
        <w:gridCol w:w="1880"/>
      </w:tblGrid>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40" w:hRule="exact"/>
          <w:jc w:val="center"/>
        </w:trPr>
        <w:tc>
          <w:tcPr>
            <w:tcW w:w="1320" w:type="dxa"/>
            <w:tcBorders>
              <w:top w:val="single" w:color="31849B" w:sz="12" w:space="0"/>
              <w:bottom w:val="single" w:color="31849B" w:sz="12" w:space="0"/>
              <w:right w:val="single" w:color="31849B" w:sz="4" w:space="0"/>
            </w:tcBorders>
            <w:vAlign w:val="center"/>
          </w:tcPr>
          <w:p>
            <w:pPr>
              <w:jc w:val="center"/>
              <w:rPr>
                <w:sz w:val="18"/>
                <w:szCs w:val="18"/>
              </w:rPr>
            </w:pPr>
            <w:r>
              <w:rPr>
                <w:sz w:val="18"/>
                <w:szCs w:val="18"/>
              </w:rPr>
              <w:t>模型类型</w:t>
            </w:r>
          </w:p>
        </w:tc>
        <w:tc>
          <w:tcPr>
            <w:tcW w:w="2893" w:type="dxa"/>
            <w:tcBorders>
              <w:top w:val="single" w:color="31849B" w:sz="12" w:space="0"/>
              <w:left w:val="single" w:color="31849B" w:sz="4" w:space="0"/>
              <w:bottom w:val="single" w:color="31849B" w:sz="12" w:space="0"/>
              <w:right w:val="nil"/>
            </w:tcBorders>
            <w:vAlign w:val="center"/>
          </w:tcPr>
          <w:p>
            <w:pPr>
              <w:jc w:val="center"/>
              <w:rPr>
                <w:sz w:val="18"/>
                <w:szCs w:val="18"/>
              </w:rPr>
            </w:pPr>
            <w:r>
              <w:rPr>
                <w:sz w:val="18"/>
                <w:szCs w:val="18"/>
              </w:rPr>
              <w:t>回归方程</w:t>
            </w:r>
          </w:p>
        </w:tc>
        <w:tc>
          <w:tcPr>
            <w:tcW w:w="1171" w:type="dxa"/>
            <w:tcBorders>
              <w:top w:val="single" w:color="31849B" w:sz="12" w:space="0"/>
              <w:left w:val="nil"/>
              <w:bottom w:val="single" w:color="31849B" w:sz="12" w:space="0"/>
              <w:right w:val="nil"/>
            </w:tcBorders>
            <w:vAlign w:val="center"/>
          </w:tcPr>
          <w:p>
            <w:pPr>
              <w:jc w:val="center"/>
              <w:rPr>
                <w:sz w:val="18"/>
                <w:szCs w:val="18"/>
              </w:rPr>
            </w:pPr>
            <w:r>
              <w:rPr>
                <w:sz w:val="18"/>
                <w:szCs w:val="18"/>
              </w:rPr>
              <w:t>R</w:t>
            </w:r>
            <w:r>
              <w:rPr>
                <w:sz w:val="18"/>
                <w:szCs w:val="18"/>
                <w:vertAlign w:val="superscript"/>
              </w:rPr>
              <w:t>2</w:t>
            </w:r>
          </w:p>
        </w:tc>
        <w:tc>
          <w:tcPr>
            <w:tcW w:w="1171" w:type="dxa"/>
            <w:tcBorders>
              <w:top w:val="single" w:color="31849B" w:sz="12" w:space="0"/>
              <w:left w:val="nil"/>
              <w:bottom w:val="single" w:color="31849B" w:sz="12" w:space="0"/>
              <w:right w:val="nil"/>
            </w:tcBorders>
            <w:vAlign w:val="center"/>
          </w:tcPr>
          <w:p>
            <w:pPr>
              <w:jc w:val="center"/>
              <w:rPr>
                <w:sz w:val="18"/>
                <w:szCs w:val="18"/>
              </w:rPr>
            </w:pPr>
            <w:r>
              <w:rPr>
                <w:sz w:val="18"/>
                <w:szCs w:val="18"/>
              </w:rPr>
              <w:t>AIC</w:t>
            </w:r>
          </w:p>
        </w:tc>
        <w:tc>
          <w:tcPr>
            <w:tcW w:w="1880" w:type="dxa"/>
            <w:tcBorders>
              <w:top w:val="single" w:color="31849B" w:sz="12" w:space="0"/>
              <w:left w:val="nil"/>
              <w:bottom w:val="single" w:color="31849B" w:sz="12" w:space="0"/>
            </w:tcBorders>
            <w:vAlign w:val="center"/>
          </w:tcPr>
          <w:p>
            <w:pPr>
              <w:jc w:val="center"/>
              <w:rPr>
                <w:sz w:val="18"/>
                <w:szCs w:val="18"/>
              </w:rPr>
            </w:pPr>
            <w:r>
              <w:rPr>
                <w:sz w:val="18"/>
                <w:szCs w:val="18"/>
              </w:rPr>
              <w:t>F检验中P值</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40" w:hRule="exact"/>
          <w:jc w:val="center"/>
        </w:trPr>
        <w:tc>
          <w:tcPr>
            <w:tcW w:w="1320" w:type="dxa"/>
            <w:tcBorders>
              <w:top w:val="single" w:color="31849B" w:sz="12" w:space="0"/>
              <w:bottom w:val="nil"/>
              <w:right w:val="single" w:color="31849B" w:sz="4" w:space="0"/>
            </w:tcBorders>
            <w:shd w:val="clear" w:color="auto" w:fill="B6DDE8"/>
            <w:vAlign w:val="center"/>
          </w:tcPr>
          <w:p>
            <w:pPr>
              <w:jc w:val="center"/>
              <w:rPr>
                <w:sz w:val="18"/>
                <w:szCs w:val="18"/>
              </w:rPr>
            </w:pPr>
            <w:r>
              <w:rPr>
                <w:sz w:val="18"/>
                <w:szCs w:val="18"/>
              </w:rPr>
              <w:t>线性</w:t>
            </w:r>
          </w:p>
        </w:tc>
        <w:tc>
          <w:tcPr>
            <w:tcW w:w="2893" w:type="dxa"/>
            <w:tcBorders>
              <w:top w:val="single" w:color="31849B" w:sz="12" w:space="0"/>
              <w:left w:val="single" w:color="31849B" w:sz="4" w:space="0"/>
              <w:bottom w:val="nil"/>
              <w:right w:val="nil"/>
            </w:tcBorders>
            <w:shd w:val="clear" w:color="auto" w:fill="B6DDE8"/>
            <w:vAlign w:val="center"/>
          </w:tcPr>
          <w:p>
            <w:pPr>
              <w:jc w:val="center"/>
              <w:rPr>
                <w:sz w:val="18"/>
                <w:szCs w:val="18"/>
              </w:rPr>
            </w:pPr>
            <w:r>
              <w:rPr>
                <w:sz w:val="18"/>
                <w:szCs w:val="18"/>
              </w:rPr>
              <w:t>y=0.059x+0.401</w:t>
            </w:r>
          </w:p>
        </w:tc>
        <w:tc>
          <w:tcPr>
            <w:tcW w:w="1171" w:type="dxa"/>
            <w:tcBorders>
              <w:top w:val="single" w:color="31849B" w:sz="12" w:space="0"/>
              <w:left w:val="nil"/>
              <w:bottom w:val="nil"/>
              <w:right w:val="nil"/>
            </w:tcBorders>
            <w:shd w:val="clear" w:color="auto" w:fill="B6DDE8"/>
            <w:vAlign w:val="center"/>
          </w:tcPr>
          <w:p>
            <w:pPr>
              <w:jc w:val="center"/>
              <w:rPr>
                <w:sz w:val="18"/>
                <w:szCs w:val="18"/>
              </w:rPr>
            </w:pPr>
            <w:r>
              <w:rPr>
                <w:sz w:val="18"/>
                <w:szCs w:val="18"/>
              </w:rPr>
              <w:t>0.717</w:t>
            </w:r>
          </w:p>
        </w:tc>
        <w:tc>
          <w:tcPr>
            <w:tcW w:w="1171" w:type="dxa"/>
            <w:tcBorders>
              <w:top w:val="single" w:color="31849B" w:sz="12" w:space="0"/>
              <w:left w:val="nil"/>
              <w:bottom w:val="nil"/>
              <w:right w:val="nil"/>
            </w:tcBorders>
            <w:shd w:val="clear" w:color="auto" w:fill="B6DDE8"/>
            <w:vAlign w:val="center"/>
          </w:tcPr>
          <w:p>
            <w:pPr>
              <w:jc w:val="center"/>
              <w:rPr>
                <w:sz w:val="18"/>
                <w:szCs w:val="18"/>
              </w:rPr>
            </w:pPr>
            <w:r>
              <w:rPr>
                <w:sz w:val="18"/>
                <w:szCs w:val="18"/>
              </w:rPr>
              <w:t>-77.064</w:t>
            </w:r>
          </w:p>
        </w:tc>
        <w:tc>
          <w:tcPr>
            <w:tcW w:w="1880" w:type="dxa"/>
            <w:tcBorders>
              <w:top w:val="single" w:color="31849B" w:sz="12" w:space="0"/>
              <w:left w:val="nil"/>
              <w:bottom w:val="nil"/>
            </w:tcBorders>
            <w:shd w:val="clear" w:color="auto" w:fill="B6DDE8"/>
            <w:vAlign w:val="center"/>
          </w:tcPr>
          <w:p>
            <w:pPr>
              <w:jc w:val="center"/>
              <w:rPr>
                <w:sz w:val="18"/>
                <w:szCs w:val="18"/>
              </w:rPr>
            </w:pPr>
            <w:r>
              <w:rPr>
                <w:sz w:val="18"/>
                <w:szCs w:val="18"/>
              </w:rPr>
              <w:t>0.047</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40" w:hRule="exact"/>
          <w:jc w:val="center"/>
        </w:trPr>
        <w:tc>
          <w:tcPr>
            <w:tcW w:w="1320" w:type="dxa"/>
            <w:tcBorders>
              <w:top w:val="nil"/>
              <w:bottom w:val="nil"/>
              <w:right w:val="single" w:color="31849B" w:sz="2" w:space="0"/>
            </w:tcBorders>
            <w:vAlign w:val="center"/>
          </w:tcPr>
          <w:p>
            <w:pPr>
              <w:jc w:val="center"/>
              <w:rPr>
                <w:sz w:val="18"/>
                <w:szCs w:val="18"/>
              </w:rPr>
            </w:pPr>
            <w:r>
              <w:rPr>
                <w:sz w:val="18"/>
                <w:szCs w:val="18"/>
              </w:rPr>
              <w:t>指数</w:t>
            </w:r>
          </w:p>
        </w:tc>
        <w:tc>
          <w:tcPr>
            <w:tcW w:w="2893" w:type="dxa"/>
            <w:tcBorders>
              <w:top w:val="nil"/>
              <w:left w:val="single" w:color="31849B" w:sz="2" w:space="0"/>
              <w:bottom w:val="nil"/>
              <w:right w:val="nil"/>
            </w:tcBorders>
            <w:vAlign w:val="center"/>
          </w:tcPr>
          <w:p>
            <w:pPr>
              <w:jc w:val="center"/>
              <w:rPr>
                <w:sz w:val="18"/>
                <w:szCs w:val="18"/>
              </w:rPr>
            </w:pPr>
            <w:r>
              <w:rPr>
                <w:sz w:val="18"/>
                <w:szCs w:val="18"/>
              </w:rPr>
              <w:t>y=1.025-1.223e</w:t>
            </w:r>
            <w:r>
              <w:rPr>
                <w:sz w:val="18"/>
                <w:szCs w:val="18"/>
                <w:vertAlign w:val="superscript"/>
              </w:rPr>
              <w:t>-0.261x</w:t>
            </w:r>
          </w:p>
        </w:tc>
        <w:tc>
          <w:tcPr>
            <w:tcW w:w="1171" w:type="dxa"/>
            <w:tcBorders>
              <w:top w:val="nil"/>
              <w:left w:val="nil"/>
              <w:bottom w:val="nil"/>
              <w:right w:val="nil"/>
            </w:tcBorders>
            <w:vAlign w:val="center"/>
          </w:tcPr>
          <w:p>
            <w:pPr>
              <w:jc w:val="center"/>
              <w:rPr>
                <w:sz w:val="18"/>
                <w:szCs w:val="18"/>
              </w:rPr>
            </w:pPr>
            <w:r>
              <w:rPr>
                <w:sz w:val="18"/>
                <w:szCs w:val="18"/>
              </w:rPr>
              <w:t>0.713</w:t>
            </w:r>
          </w:p>
        </w:tc>
        <w:tc>
          <w:tcPr>
            <w:tcW w:w="1171" w:type="dxa"/>
            <w:tcBorders>
              <w:top w:val="nil"/>
              <w:left w:val="nil"/>
              <w:bottom w:val="nil"/>
              <w:right w:val="nil"/>
            </w:tcBorders>
            <w:vAlign w:val="center"/>
          </w:tcPr>
          <w:p>
            <w:pPr>
              <w:jc w:val="center"/>
              <w:rPr>
                <w:sz w:val="18"/>
                <w:szCs w:val="18"/>
              </w:rPr>
            </w:pPr>
            <w:r>
              <w:rPr>
                <w:sz w:val="18"/>
                <w:szCs w:val="18"/>
              </w:rPr>
              <w:t>-74.274</w:t>
            </w:r>
          </w:p>
        </w:tc>
        <w:tc>
          <w:tcPr>
            <w:tcW w:w="1880" w:type="dxa"/>
            <w:tcBorders>
              <w:top w:val="nil"/>
              <w:left w:val="nil"/>
              <w:bottom w:val="nil"/>
            </w:tcBorders>
            <w:vAlign w:val="center"/>
          </w:tcPr>
          <w:p>
            <w:pPr>
              <w:jc w:val="center"/>
              <w:rPr>
                <w:sz w:val="18"/>
                <w:szCs w:val="18"/>
              </w:rPr>
            </w:pPr>
            <w:r>
              <w:rPr>
                <w:sz w:val="18"/>
                <w:szCs w:val="18"/>
              </w:rPr>
              <w:t>0.156</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40" w:hRule="exact"/>
          <w:jc w:val="center"/>
        </w:trPr>
        <w:tc>
          <w:tcPr>
            <w:tcW w:w="1320" w:type="dxa"/>
            <w:tcBorders>
              <w:top w:val="nil"/>
              <w:bottom w:val="nil"/>
              <w:right w:val="single" w:color="31849B" w:sz="4" w:space="0"/>
            </w:tcBorders>
            <w:shd w:val="clear" w:color="auto" w:fill="B6DDE8"/>
            <w:vAlign w:val="center"/>
          </w:tcPr>
          <w:p>
            <w:pPr>
              <w:jc w:val="center"/>
              <w:rPr>
                <w:sz w:val="18"/>
                <w:szCs w:val="18"/>
              </w:rPr>
            </w:pPr>
            <w:r>
              <w:rPr>
                <w:sz w:val="18"/>
                <w:szCs w:val="18"/>
              </w:rPr>
              <w:t>多项式</w:t>
            </w:r>
          </w:p>
        </w:tc>
        <w:tc>
          <w:tcPr>
            <w:tcW w:w="2893" w:type="dxa"/>
            <w:tcBorders>
              <w:top w:val="nil"/>
              <w:left w:val="single" w:color="31849B" w:sz="4" w:space="0"/>
              <w:bottom w:val="nil"/>
              <w:right w:val="nil"/>
            </w:tcBorders>
            <w:shd w:val="clear" w:color="auto" w:fill="B6DDE8"/>
            <w:vAlign w:val="center"/>
          </w:tcPr>
          <w:p>
            <w:pPr>
              <w:jc w:val="center"/>
              <w:rPr>
                <w:sz w:val="18"/>
                <w:szCs w:val="18"/>
              </w:rPr>
            </w:pPr>
            <w:r>
              <w:rPr>
                <w:sz w:val="18"/>
                <w:szCs w:val="18"/>
              </w:rPr>
              <w:t>y=-0.014x</w:t>
            </w:r>
            <w:r>
              <w:rPr>
                <w:sz w:val="18"/>
                <w:szCs w:val="18"/>
                <w:vertAlign w:val="superscript"/>
              </w:rPr>
              <w:t>2</w:t>
            </w:r>
            <w:r>
              <w:rPr>
                <w:sz w:val="18"/>
                <w:szCs w:val="18"/>
              </w:rPr>
              <w:t>+0.224x-0.179</w:t>
            </w:r>
          </w:p>
        </w:tc>
        <w:tc>
          <w:tcPr>
            <w:tcW w:w="1171" w:type="dxa"/>
            <w:tcBorders>
              <w:top w:val="nil"/>
              <w:left w:val="nil"/>
              <w:bottom w:val="nil"/>
              <w:right w:val="nil"/>
            </w:tcBorders>
            <w:shd w:val="clear" w:color="auto" w:fill="B6DDE8"/>
            <w:vAlign w:val="center"/>
          </w:tcPr>
          <w:p>
            <w:pPr>
              <w:jc w:val="center"/>
              <w:rPr>
                <w:sz w:val="18"/>
                <w:szCs w:val="18"/>
              </w:rPr>
            </w:pPr>
            <w:r>
              <w:rPr>
                <w:sz w:val="18"/>
                <w:szCs w:val="18"/>
              </w:rPr>
              <w:t>0.710</w:t>
            </w:r>
          </w:p>
        </w:tc>
        <w:tc>
          <w:tcPr>
            <w:tcW w:w="1171" w:type="dxa"/>
            <w:tcBorders>
              <w:top w:val="nil"/>
              <w:left w:val="nil"/>
              <w:bottom w:val="nil"/>
              <w:right w:val="nil"/>
            </w:tcBorders>
            <w:shd w:val="clear" w:color="auto" w:fill="B6DDE8"/>
            <w:vAlign w:val="center"/>
          </w:tcPr>
          <w:p>
            <w:pPr>
              <w:jc w:val="center"/>
              <w:rPr>
                <w:sz w:val="18"/>
                <w:szCs w:val="18"/>
              </w:rPr>
            </w:pPr>
            <w:r>
              <w:rPr>
                <w:sz w:val="18"/>
                <w:szCs w:val="18"/>
              </w:rPr>
              <w:t>-74.375</w:t>
            </w:r>
          </w:p>
        </w:tc>
        <w:tc>
          <w:tcPr>
            <w:tcW w:w="1880" w:type="dxa"/>
            <w:tcBorders>
              <w:top w:val="nil"/>
              <w:left w:val="nil"/>
              <w:bottom w:val="nil"/>
            </w:tcBorders>
            <w:shd w:val="clear" w:color="auto" w:fill="B6DDE8"/>
            <w:vAlign w:val="center"/>
          </w:tcPr>
          <w:p>
            <w:pPr>
              <w:jc w:val="center"/>
              <w:rPr>
                <w:sz w:val="18"/>
                <w:szCs w:val="18"/>
              </w:rPr>
            </w:pPr>
            <w:r>
              <w:rPr>
                <w:sz w:val="18"/>
                <w:szCs w:val="18"/>
              </w:rPr>
              <w:t>1.536</w:t>
            </w:r>
            <w:r>
              <w:rPr>
                <w:sz w:val="18"/>
                <w:szCs w:val="18"/>
                <w:shd w:val="clear" w:color="auto" w:fill="B6DDE8"/>
              </w:rPr>
              <w:t>×</w:t>
            </w:r>
            <w:r>
              <w:rPr>
                <w:sz w:val="18"/>
                <w:szCs w:val="18"/>
              </w:rPr>
              <w:t>10</w:t>
            </w:r>
            <w:r>
              <w:rPr>
                <w:sz w:val="18"/>
                <w:szCs w:val="18"/>
                <w:vertAlign w:val="superscript"/>
              </w:rPr>
              <w:t>-13</w:t>
            </w:r>
          </w:p>
        </w:tc>
      </w:tr>
      <w:tr>
        <w:tblPrEx>
          <w:tblBorders>
            <w:top w:val="single" w:color="31849B" w:sz="12" w:space="0"/>
            <w:left w:val="none" w:color="auto" w:sz="0" w:space="0"/>
            <w:bottom w:val="single" w:color="31849B" w:sz="12" w:space="0"/>
            <w:right w:val="none" w:color="auto" w:sz="0" w:space="0"/>
            <w:insideH w:val="single" w:color="31849B" w:sz="4" w:space="0"/>
            <w:insideV w:val="single" w:color="31849B" w:sz="12" w:space="0"/>
          </w:tblBorders>
          <w:tblLayout w:type="fixed"/>
          <w:tblCellMar>
            <w:top w:w="0" w:type="dxa"/>
            <w:left w:w="108" w:type="dxa"/>
            <w:bottom w:w="0" w:type="dxa"/>
            <w:right w:w="108" w:type="dxa"/>
          </w:tblCellMar>
        </w:tblPrEx>
        <w:trPr>
          <w:trHeight w:val="340" w:hRule="exact"/>
          <w:jc w:val="center"/>
        </w:trPr>
        <w:tc>
          <w:tcPr>
            <w:tcW w:w="1320" w:type="dxa"/>
            <w:tcBorders>
              <w:top w:val="nil"/>
              <w:bottom w:val="single" w:color="31849B" w:sz="12" w:space="0"/>
              <w:right w:val="single" w:color="31849B" w:sz="4" w:space="0"/>
            </w:tcBorders>
            <w:shd w:val="clear" w:color="auto" w:fill="FFFFFF"/>
            <w:vAlign w:val="center"/>
          </w:tcPr>
          <w:p>
            <w:pPr>
              <w:jc w:val="center"/>
              <w:rPr>
                <w:sz w:val="18"/>
                <w:szCs w:val="18"/>
              </w:rPr>
            </w:pPr>
            <w:r>
              <w:rPr>
                <w:sz w:val="18"/>
                <w:szCs w:val="18"/>
              </w:rPr>
              <w:t>对数</w:t>
            </w:r>
          </w:p>
        </w:tc>
        <w:tc>
          <w:tcPr>
            <w:tcW w:w="2893" w:type="dxa"/>
            <w:tcBorders>
              <w:top w:val="nil"/>
              <w:left w:val="single" w:color="31849B" w:sz="4" w:space="0"/>
              <w:bottom w:val="single" w:color="31849B" w:sz="12" w:space="0"/>
              <w:right w:val="nil"/>
            </w:tcBorders>
            <w:shd w:val="clear" w:color="auto" w:fill="FFFFFF"/>
            <w:vAlign w:val="center"/>
          </w:tcPr>
          <w:p>
            <w:pPr>
              <w:jc w:val="center"/>
              <w:rPr>
                <w:sz w:val="18"/>
                <w:szCs w:val="18"/>
              </w:rPr>
            </w:pPr>
            <w:r>
              <w:rPr>
                <w:sz w:val="18"/>
                <w:szCs w:val="18"/>
              </w:rPr>
              <w:t>y=0.702ln（1.675lnx）</w:t>
            </w:r>
          </w:p>
        </w:tc>
        <w:tc>
          <w:tcPr>
            <w:tcW w:w="1171" w:type="dxa"/>
            <w:tcBorders>
              <w:top w:val="nil"/>
              <w:left w:val="nil"/>
              <w:bottom w:val="single" w:color="31849B" w:sz="12" w:space="0"/>
              <w:right w:val="nil"/>
            </w:tcBorders>
            <w:shd w:val="clear" w:color="auto" w:fill="FFFFFF"/>
            <w:vAlign w:val="center"/>
          </w:tcPr>
          <w:p>
            <w:pPr>
              <w:jc w:val="center"/>
              <w:rPr>
                <w:sz w:val="18"/>
                <w:szCs w:val="18"/>
              </w:rPr>
            </w:pPr>
            <w:r>
              <w:rPr>
                <w:sz w:val="18"/>
                <w:szCs w:val="18"/>
              </w:rPr>
              <w:t>0.691</w:t>
            </w:r>
          </w:p>
        </w:tc>
        <w:tc>
          <w:tcPr>
            <w:tcW w:w="1171" w:type="dxa"/>
            <w:tcBorders>
              <w:top w:val="nil"/>
              <w:left w:val="nil"/>
              <w:bottom w:val="single" w:color="31849B" w:sz="12" w:space="0"/>
              <w:right w:val="nil"/>
            </w:tcBorders>
            <w:shd w:val="clear" w:color="auto" w:fill="FFFFFF"/>
            <w:vAlign w:val="center"/>
          </w:tcPr>
          <w:p>
            <w:pPr>
              <w:jc w:val="center"/>
              <w:rPr>
                <w:sz w:val="18"/>
                <w:szCs w:val="18"/>
              </w:rPr>
            </w:pPr>
            <w:r>
              <w:rPr>
                <w:sz w:val="18"/>
                <w:szCs w:val="18"/>
              </w:rPr>
              <w:t>-77.935</w:t>
            </w:r>
          </w:p>
        </w:tc>
        <w:tc>
          <w:tcPr>
            <w:tcW w:w="1880" w:type="dxa"/>
            <w:tcBorders>
              <w:top w:val="nil"/>
              <w:left w:val="nil"/>
              <w:bottom w:val="single" w:color="31849B" w:sz="12" w:space="0"/>
            </w:tcBorders>
            <w:shd w:val="clear" w:color="auto" w:fill="FFFFFF"/>
            <w:vAlign w:val="center"/>
          </w:tcPr>
          <w:p>
            <w:pPr>
              <w:jc w:val="center"/>
              <w:rPr>
                <w:sz w:val="18"/>
                <w:szCs w:val="18"/>
              </w:rPr>
            </w:pPr>
            <w:r>
              <w:rPr>
                <w:sz w:val="18"/>
                <w:szCs w:val="18"/>
              </w:rPr>
              <w:t>8.626×10</w:t>
            </w:r>
            <w:r>
              <w:rPr>
                <w:sz w:val="18"/>
                <w:szCs w:val="18"/>
                <w:vertAlign w:val="superscript"/>
              </w:rPr>
              <w:t>-14</w:t>
            </w:r>
          </w:p>
        </w:tc>
      </w:tr>
    </w:tbl>
    <w:p>
      <w:pPr>
        <w:autoSpaceDE w:val="0"/>
        <w:autoSpaceDN w:val="0"/>
        <w:adjustRightInd w:val="0"/>
        <w:jc w:val="center"/>
        <w:rPr>
          <w:rFonts w:hint="eastAsia"/>
          <w:sz w:val="18"/>
          <w:szCs w:val="18"/>
        </w:rPr>
      </w:pPr>
      <w:r>
        <w:rPr>
          <w:rFonts w:ascii="Times New Roman" w:hAnsi="Times New Roman" w:eastAsia="宋体" w:cs="Times New Roman"/>
          <w:kern w:val="2"/>
          <w:sz w:val="18"/>
          <w:szCs w:val="18"/>
          <w:lang w:val="en-US" w:eastAsia="zh-CN" w:bidi="ar-SA"/>
        </w:rPr>
        <w:pict>
          <v:shape id="图片 18" o:spid="_x0000_s1039" type="#_x0000_t75" style="height:205.5pt;width:213.95pt;rotation:0f;" o:ole="f" fillcolor="#FFFFFF" filled="f" o:preferrelative="t" stroked="f" coordorigin="0,0" coordsize="21600,21600">
            <v:fill on="f" color2="#FFFFFF" focus="0%"/>
            <v:imagedata croptop="4443f" gain="65536f" blacklevel="0f" gamma="0" o:title="" r:id="rId31"/>
            <o:lock v:ext="edit" position="f" selection="f" grouping="f" rotation="f" cropping="f" text="f" aspectratio="t"/>
            <w10:wrap type="none"/>
            <w10:anchorlock/>
          </v:shape>
        </w:pict>
      </w:r>
    </w:p>
    <w:p>
      <w:pPr>
        <w:autoSpaceDE w:val="0"/>
        <w:autoSpaceDN w:val="0"/>
        <w:adjustRightInd w:val="0"/>
        <w:spacing w:beforeLines="50" w:afterLines="50"/>
        <w:jc w:val="center"/>
        <w:rPr>
          <w:sz w:val="18"/>
          <w:szCs w:val="18"/>
        </w:rPr>
      </w:pPr>
      <w:r>
        <w:rPr>
          <w:sz w:val="18"/>
          <w:szCs w:val="18"/>
        </w:rPr>
        <w:t>图6 pH与抵抗力的回归曲线图</w:t>
      </w:r>
    </w:p>
    <w:p>
      <w:pPr>
        <w:pStyle w:val="48"/>
        <w:numPr>
          <w:ilvl w:val="0"/>
          <w:numId w:val="9"/>
        </w:numPr>
        <w:spacing w:beforeLines="50" w:afterLines="50" w:line="320" w:lineRule="exact"/>
        <w:ind w:left="840" w:leftChars="200" w:firstLineChars="0"/>
        <w:outlineLvl w:val="3"/>
        <w:rPr>
          <w:bCs/>
        </w:rPr>
      </w:pPr>
      <w:bookmarkStart w:id="68" w:name="_Toc417832570"/>
      <w:bookmarkStart w:id="69" w:name="_Toc421887805"/>
      <w:r>
        <w:rPr>
          <w:bCs/>
        </w:rPr>
        <w:t>沙粒含量与恢复力</w:t>
      </w:r>
      <w:bookmarkEnd w:id="68"/>
      <w:bookmarkEnd w:id="69"/>
    </w:p>
    <w:p>
      <w:pPr>
        <w:spacing w:line="320" w:lineRule="exact"/>
        <w:ind w:firstLine="420" w:firstLineChars="200"/>
        <w:rPr>
          <w:spacing w:val="-4"/>
          <w:szCs w:val="21"/>
        </w:rPr>
        <w:sectPr>
          <w:pgSz w:w="11906" w:h="16838"/>
          <w:pgMar w:top="1418" w:right="1644" w:bottom="1418" w:left="1644" w:header="851" w:footer="851" w:gutter="0"/>
          <w:cols w:space="720" w:num="1"/>
          <w:titlePg/>
          <w:docGrid w:linePitch="326" w:charSpace="0"/>
        </w:sectPr>
      </w:pPr>
      <w:r>
        <w:rPr>
          <w:szCs w:val="21"/>
        </w:rPr>
        <w:t>根据沙粒含量及其对应土壤恢复力的实验数据，绘制恢复力随沙粒含量变化的散点图，由于对数表现趋势不符合沙粒含量与恢复力间的负相关关系，故选择线性、指数及多项式模型（表8）进行构建，其中线性拟合因其AIC值小，可决系数R</w:t>
      </w:r>
      <w:r>
        <w:rPr>
          <w:szCs w:val="21"/>
          <w:vertAlign w:val="superscript"/>
        </w:rPr>
        <w:t>2</w:t>
      </w:r>
      <w:r>
        <w:rPr>
          <w:szCs w:val="21"/>
        </w:rPr>
        <w:t>大，F检验显著性满足P＜</w:t>
      </w:r>
      <w:r>
        <w:rPr>
          <w:szCs w:val="21"/>
        </w:rPr>
        <w:fldChar w:fldCharType="begin"/>
      </w:r>
      <w:r>
        <w:rPr>
          <w:szCs w:val="21"/>
        </w:rPr>
        <w:instrText xml:space="preserve"> QUOTE </w:instrText>
      </w:r>
      <w:r>
        <w:rPr>
          <w:rFonts w:ascii="Times New Roman" w:hAnsi="Times New Roman" w:eastAsia="宋体" w:cs="Times New Roman"/>
          <w:kern w:val="2"/>
          <w:sz w:val="21"/>
          <w:szCs w:val="21"/>
          <w:lang w:val="en-US" w:eastAsia="zh-CN" w:bidi="ar-SA"/>
        </w:rPr>
        <w:pict>
          <v:shape id="图片 19" o:spid="_x0000_s1040" type="#_x0000_t75" style="height:14.4pt;width:7.5pt;rotation:0f;" o:ole="f" fillcolor="#FFFFFF" filled="f" o:preferrelative="t" stroked="f" coordorigin="0,0" coordsize="21600,21600">
            <v:fill on="f" color2="#FFFFFF" focus="0%"/>
            <v:imagedata gain="65536f" blacklevel="0f" gamma="0" chromakey="#FFFFFF" o:title="" r:id="rId32"/>
            <o:lock v:ext="edit" position="f" selection="f" grouping="f" rotation="f" cropping="f" text="f" aspectratio="t"/>
            <w10:wrap type="none"/>
            <w10:anchorlock/>
          </v:shape>
        </w:pict>
      </w:r>
      <w:r>
        <w:rPr>
          <w:szCs w:val="21"/>
        </w:rPr>
        <w:instrText xml:space="preserve"> </w:instrText>
      </w:r>
      <w:r>
        <w:rPr>
          <w:szCs w:val="21"/>
        </w:rPr>
        <w:fldChar w:fldCharType="end"/>
      </w:r>
      <w:r>
        <w:rPr>
          <w:szCs w:val="21"/>
        </w:rPr>
        <w:t>0</w:t>
      </w:r>
      <w:r>
        <w:rPr>
          <w:i/>
          <w:iCs/>
          <w:szCs w:val="21"/>
        </w:rPr>
        <w:t>.</w:t>
      </w:r>
      <w:r>
        <w:rPr>
          <w:szCs w:val="21"/>
        </w:rPr>
        <w:t>05，被视为用于描述恢复力随沙粒含量动态变化的最优量化表征模型（图7），方程为：</w:t>
      </w:r>
      <w:r>
        <w:rPr>
          <w:spacing w:val="-4"/>
          <w:szCs w:val="21"/>
        </w:rPr>
        <w:fldChar w:fldCharType="begin"/>
      </w:r>
      <w:r>
        <w:rPr>
          <w:spacing w:val="-4"/>
          <w:szCs w:val="21"/>
        </w:rPr>
        <w:instrText xml:space="preserve"> QUOTE  </w:instrText>
      </w:r>
      <w:r>
        <w:rPr>
          <w:spacing w:val="-4"/>
          <w:szCs w:val="21"/>
        </w:rPr>
        <w:fldChar w:fldCharType="end"/>
      </w:r>
      <w:r>
        <w:rPr>
          <w:spacing w:val="-4"/>
          <w:kern w:val="20"/>
          <w:szCs w:val="21"/>
        </w:rPr>
        <w:t>y=</w:t>
      </w:r>
      <w:r>
        <w:rPr>
          <w:rFonts w:hint="eastAsia"/>
          <w:spacing w:val="-4"/>
          <w:kern w:val="20"/>
          <w:szCs w:val="21"/>
        </w:rPr>
        <w:t xml:space="preserve"> </w:t>
      </w:r>
      <w:r>
        <w:rPr>
          <w:spacing w:val="-4"/>
          <w:kern w:val="20"/>
          <w:szCs w:val="21"/>
        </w:rPr>
        <w:t>-0.010x+1.276</w:t>
      </w:r>
      <w:r>
        <w:rPr>
          <w:spacing w:val="-4"/>
          <w:szCs w:val="21"/>
        </w:rPr>
        <w:t>，R</w:t>
      </w:r>
      <w:r>
        <w:rPr>
          <w:spacing w:val="-4"/>
          <w:szCs w:val="21"/>
          <w:vertAlign w:val="superscript"/>
        </w:rPr>
        <w:t>2</w:t>
      </w:r>
      <w:r>
        <w:rPr>
          <w:spacing w:val="-4"/>
          <w:szCs w:val="21"/>
        </w:rPr>
        <w:t>=0.670。</w:t>
      </w:r>
    </w:p>
    <w:p>
      <w:pPr>
        <w:spacing w:beforeLines="50" w:afterLines="50" w:line="320" w:lineRule="exact"/>
        <w:ind w:firstLine="360" w:firstLineChars="200"/>
        <w:jc w:val="center"/>
        <w:rPr>
          <w:sz w:val="18"/>
          <w:szCs w:val="18"/>
        </w:rPr>
      </w:pPr>
      <w:r>
        <w:rPr>
          <w:sz w:val="18"/>
          <w:szCs w:val="18"/>
        </w:rPr>
        <w:t>表8 沙粒含量与恢复力的回归方程模拟误差比较</w:t>
      </w:r>
    </w:p>
    <w:tbl>
      <w:tblPr>
        <w:tblStyle w:val="39"/>
        <w:tblW w:w="8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13"/>
        <w:gridCol w:w="3289"/>
        <w:gridCol w:w="1134"/>
        <w:gridCol w:w="1050"/>
        <w:gridCol w:w="1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213" w:type="dxa"/>
            <w:tcBorders>
              <w:top w:val="single" w:color="365F91" w:sz="12" w:space="0"/>
              <w:bottom w:val="single" w:color="365F91" w:sz="12" w:space="0"/>
            </w:tcBorders>
            <w:vAlign w:val="center"/>
          </w:tcPr>
          <w:p>
            <w:pPr>
              <w:jc w:val="center"/>
              <w:rPr>
                <w:sz w:val="18"/>
                <w:szCs w:val="18"/>
              </w:rPr>
            </w:pPr>
            <w:r>
              <w:rPr>
                <w:sz w:val="18"/>
                <w:szCs w:val="18"/>
              </w:rPr>
              <w:t>模型类型</w:t>
            </w:r>
          </w:p>
        </w:tc>
        <w:tc>
          <w:tcPr>
            <w:tcW w:w="3289" w:type="dxa"/>
            <w:tcBorders>
              <w:top w:val="single" w:color="365F91" w:sz="12" w:space="0"/>
              <w:bottom w:val="single" w:color="365F91" w:sz="12" w:space="0"/>
            </w:tcBorders>
            <w:vAlign w:val="center"/>
          </w:tcPr>
          <w:p>
            <w:pPr>
              <w:jc w:val="center"/>
              <w:rPr>
                <w:sz w:val="18"/>
                <w:szCs w:val="18"/>
              </w:rPr>
            </w:pPr>
            <w:r>
              <w:rPr>
                <w:sz w:val="18"/>
                <w:szCs w:val="18"/>
              </w:rPr>
              <w:t>回归方程</w:t>
            </w:r>
          </w:p>
        </w:tc>
        <w:tc>
          <w:tcPr>
            <w:tcW w:w="1134" w:type="dxa"/>
            <w:tcBorders>
              <w:top w:val="single" w:color="365F91" w:sz="12" w:space="0"/>
              <w:bottom w:val="single" w:color="365F91" w:sz="12" w:space="0"/>
            </w:tcBorders>
            <w:vAlign w:val="center"/>
          </w:tcPr>
          <w:p>
            <w:pPr>
              <w:jc w:val="center"/>
              <w:rPr>
                <w:sz w:val="18"/>
                <w:szCs w:val="18"/>
              </w:rPr>
            </w:pPr>
            <w:r>
              <w:rPr>
                <w:sz w:val="18"/>
                <w:szCs w:val="18"/>
              </w:rPr>
              <w:t>R</w:t>
            </w:r>
            <w:r>
              <w:rPr>
                <w:sz w:val="18"/>
                <w:szCs w:val="18"/>
                <w:vertAlign w:val="superscript"/>
              </w:rPr>
              <w:t>2</w:t>
            </w:r>
          </w:p>
        </w:tc>
        <w:tc>
          <w:tcPr>
            <w:tcW w:w="1050" w:type="dxa"/>
            <w:tcBorders>
              <w:top w:val="single" w:color="365F91" w:sz="12" w:space="0"/>
              <w:bottom w:val="single" w:color="365F91" w:sz="12" w:space="0"/>
            </w:tcBorders>
            <w:vAlign w:val="center"/>
          </w:tcPr>
          <w:p>
            <w:pPr>
              <w:jc w:val="center"/>
              <w:rPr>
                <w:sz w:val="18"/>
                <w:szCs w:val="18"/>
              </w:rPr>
            </w:pPr>
            <w:r>
              <w:rPr>
                <w:sz w:val="18"/>
                <w:szCs w:val="18"/>
              </w:rPr>
              <w:t>AIC</w:t>
            </w:r>
          </w:p>
        </w:tc>
        <w:tc>
          <w:tcPr>
            <w:tcW w:w="1685" w:type="dxa"/>
            <w:tcBorders>
              <w:top w:val="single" w:color="365F91" w:sz="12" w:space="0"/>
              <w:bottom w:val="single" w:color="365F91" w:sz="12" w:space="0"/>
            </w:tcBorders>
            <w:vAlign w:val="center"/>
          </w:tcPr>
          <w:p>
            <w:pPr>
              <w:jc w:val="center"/>
              <w:rPr>
                <w:sz w:val="18"/>
                <w:szCs w:val="18"/>
              </w:rPr>
            </w:pPr>
            <w:r>
              <w:rPr>
                <w:sz w:val="18"/>
                <w:szCs w:val="18"/>
              </w:rPr>
              <w:t>F检验中P值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213" w:type="dxa"/>
            <w:tcBorders>
              <w:top w:val="single" w:color="365F91" w:sz="12" w:space="0"/>
            </w:tcBorders>
            <w:shd w:val="clear" w:color="auto" w:fill="B6DDE8"/>
            <w:vAlign w:val="center"/>
          </w:tcPr>
          <w:p>
            <w:pPr>
              <w:jc w:val="center"/>
              <w:rPr>
                <w:sz w:val="18"/>
                <w:szCs w:val="18"/>
              </w:rPr>
            </w:pPr>
            <w:r>
              <w:rPr>
                <w:sz w:val="18"/>
                <w:szCs w:val="18"/>
              </w:rPr>
              <w:t>线性</w:t>
            </w:r>
          </w:p>
        </w:tc>
        <w:tc>
          <w:tcPr>
            <w:tcW w:w="3289" w:type="dxa"/>
            <w:tcBorders>
              <w:top w:val="single" w:color="365F91" w:sz="12" w:space="0"/>
            </w:tcBorders>
            <w:shd w:val="clear" w:color="auto" w:fill="B6DDE8"/>
            <w:vAlign w:val="center"/>
          </w:tcPr>
          <w:p>
            <w:pPr>
              <w:jc w:val="center"/>
              <w:rPr>
                <w:sz w:val="18"/>
                <w:szCs w:val="18"/>
              </w:rPr>
            </w:pPr>
            <w:r>
              <w:rPr>
                <w:sz w:val="18"/>
                <w:szCs w:val="18"/>
              </w:rPr>
              <w:t>y =-0.010x+1.276</w:t>
            </w:r>
          </w:p>
        </w:tc>
        <w:tc>
          <w:tcPr>
            <w:tcW w:w="1134" w:type="dxa"/>
            <w:tcBorders>
              <w:top w:val="single" w:color="365F91" w:sz="12" w:space="0"/>
            </w:tcBorders>
            <w:shd w:val="clear" w:color="auto" w:fill="B6DDE8"/>
            <w:vAlign w:val="center"/>
          </w:tcPr>
          <w:p>
            <w:pPr>
              <w:jc w:val="center"/>
              <w:rPr>
                <w:sz w:val="18"/>
                <w:szCs w:val="18"/>
              </w:rPr>
            </w:pPr>
            <w:r>
              <w:rPr>
                <w:sz w:val="18"/>
                <w:szCs w:val="18"/>
              </w:rPr>
              <w:t>0.670</w:t>
            </w:r>
          </w:p>
        </w:tc>
        <w:tc>
          <w:tcPr>
            <w:tcW w:w="1050" w:type="dxa"/>
            <w:tcBorders>
              <w:top w:val="single" w:color="365F91" w:sz="12" w:space="0"/>
            </w:tcBorders>
            <w:shd w:val="clear" w:color="auto" w:fill="B6DDE8"/>
            <w:vAlign w:val="center"/>
          </w:tcPr>
          <w:p>
            <w:pPr>
              <w:jc w:val="center"/>
              <w:rPr>
                <w:sz w:val="18"/>
                <w:szCs w:val="18"/>
              </w:rPr>
            </w:pPr>
            <w:r>
              <w:rPr>
                <w:sz w:val="18"/>
                <w:szCs w:val="18"/>
              </w:rPr>
              <w:t>-78.686</w:t>
            </w:r>
          </w:p>
        </w:tc>
        <w:tc>
          <w:tcPr>
            <w:tcW w:w="1685" w:type="dxa"/>
            <w:tcBorders>
              <w:top w:val="single" w:color="365F91" w:sz="12" w:space="0"/>
            </w:tcBorders>
            <w:shd w:val="clear" w:color="auto" w:fill="B6DDE8"/>
            <w:vAlign w:val="center"/>
          </w:tcPr>
          <w:p>
            <w:pPr>
              <w:jc w:val="center"/>
              <w:rPr>
                <w:sz w:val="18"/>
                <w:szCs w:val="18"/>
              </w:rPr>
            </w:pPr>
            <w:r>
              <w:rPr>
                <w:sz w:val="18"/>
                <w:szCs w:val="18"/>
              </w:rPr>
              <w:t>2.208×10</w:t>
            </w:r>
            <w:r>
              <w:rPr>
                <w:sz w:val="18"/>
                <w:szCs w:val="18"/>
                <w:vertAlign w:val="superscript"/>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213" w:type="dxa"/>
            <w:vAlign w:val="center"/>
          </w:tcPr>
          <w:p>
            <w:pPr>
              <w:jc w:val="center"/>
              <w:rPr>
                <w:sz w:val="18"/>
                <w:szCs w:val="18"/>
              </w:rPr>
            </w:pPr>
            <w:r>
              <w:rPr>
                <w:sz w:val="18"/>
                <w:szCs w:val="18"/>
              </w:rPr>
              <w:t>指数</w:t>
            </w:r>
          </w:p>
        </w:tc>
        <w:tc>
          <w:tcPr>
            <w:tcW w:w="3289" w:type="dxa"/>
            <w:vAlign w:val="center"/>
          </w:tcPr>
          <w:p>
            <w:pPr>
              <w:jc w:val="center"/>
              <w:rPr>
                <w:sz w:val="18"/>
                <w:szCs w:val="18"/>
              </w:rPr>
            </w:pPr>
            <w:r>
              <w:rPr>
                <w:sz w:val="18"/>
                <w:szCs w:val="18"/>
              </w:rPr>
              <w:t>y=404.255-405.511e</w:t>
            </w:r>
            <w:r>
              <w:rPr>
                <w:sz w:val="18"/>
                <w:szCs w:val="18"/>
                <w:vertAlign w:val="superscript"/>
              </w:rPr>
              <w:t>(-2.539×10</w:t>
            </w:r>
            <w:r>
              <w:rPr>
                <w:position w:val="4"/>
                <w:sz w:val="18"/>
                <w:szCs w:val="18"/>
                <w:vertAlign w:val="superscript"/>
              </w:rPr>
              <w:t>-5x</w:t>
            </w:r>
            <w:r>
              <w:rPr>
                <w:sz w:val="18"/>
                <w:szCs w:val="18"/>
                <w:vertAlign w:val="superscript"/>
              </w:rPr>
              <w:t>)</w:t>
            </w:r>
          </w:p>
        </w:tc>
        <w:tc>
          <w:tcPr>
            <w:tcW w:w="1134" w:type="dxa"/>
            <w:vAlign w:val="center"/>
          </w:tcPr>
          <w:p>
            <w:pPr>
              <w:jc w:val="center"/>
              <w:rPr>
                <w:sz w:val="18"/>
                <w:szCs w:val="18"/>
              </w:rPr>
            </w:pPr>
            <w:r>
              <w:rPr>
                <w:sz w:val="18"/>
                <w:szCs w:val="18"/>
              </w:rPr>
              <w:t>0.670</w:t>
            </w:r>
          </w:p>
        </w:tc>
        <w:tc>
          <w:tcPr>
            <w:tcW w:w="1050" w:type="dxa"/>
            <w:vAlign w:val="center"/>
          </w:tcPr>
          <w:p>
            <w:pPr>
              <w:jc w:val="center"/>
              <w:rPr>
                <w:sz w:val="18"/>
                <w:szCs w:val="18"/>
              </w:rPr>
            </w:pPr>
            <w:r>
              <w:rPr>
                <w:sz w:val="18"/>
                <w:szCs w:val="18"/>
              </w:rPr>
              <w:t>-75.778</w:t>
            </w:r>
          </w:p>
        </w:tc>
        <w:tc>
          <w:tcPr>
            <w:tcW w:w="1685" w:type="dxa"/>
            <w:vAlign w:val="center"/>
          </w:tcPr>
          <w:p>
            <w:pPr>
              <w:jc w:val="center"/>
              <w:rPr>
                <w:sz w:val="18"/>
                <w:szCs w:val="18"/>
              </w:rPr>
            </w:pPr>
            <w:r>
              <w:rPr>
                <w:sz w:val="18"/>
                <w:szCs w:val="18"/>
              </w:rPr>
              <w:t>1.923×10</w:t>
            </w:r>
            <w:r>
              <w:rPr>
                <w:sz w:val="18"/>
                <w:szCs w:val="18"/>
                <w:vertAlign w:val="superscript"/>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exact"/>
          <w:jc w:val="center"/>
        </w:trPr>
        <w:tc>
          <w:tcPr>
            <w:tcW w:w="1213" w:type="dxa"/>
            <w:tcBorders>
              <w:bottom w:val="single" w:color="365F91" w:sz="12" w:space="0"/>
            </w:tcBorders>
            <w:shd w:val="clear" w:color="auto" w:fill="B6DDE8"/>
            <w:vAlign w:val="center"/>
          </w:tcPr>
          <w:p>
            <w:pPr>
              <w:jc w:val="center"/>
              <w:rPr>
                <w:sz w:val="18"/>
                <w:szCs w:val="18"/>
              </w:rPr>
            </w:pPr>
            <w:r>
              <w:rPr>
                <w:sz w:val="18"/>
                <w:szCs w:val="18"/>
              </w:rPr>
              <w:t>多项式</w:t>
            </w:r>
          </w:p>
        </w:tc>
        <w:tc>
          <w:tcPr>
            <w:tcW w:w="3289" w:type="dxa"/>
            <w:tcBorders>
              <w:bottom w:val="single" w:color="365F91" w:sz="12" w:space="0"/>
            </w:tcBorders>
            <w:shd w:val="clear" w:color="auto" w:fill="B6DDE8"/>
            <w:vAlign w:val="center"/>
          </w:tcPr>
          <w:p>
            <w:pPr>
              <w:jc w:val="center"/>
              <w:rPr>
                <w:sz w:val="18"/>
                <w:szCs w:val="18"/>
              </w:rPr>
            </w:pPr>
            <w:r>
              <w:rPr>
                <w:sz w:val="18"/>
                <w:szCs w:val="18"/>
              </w:rPr>
              <w:t>y==-3.154×10</w:t>
            </w:r>
            <w:r>
              <w:rPr>
                <w:sz w:val="18"/>
                <w:szCs w:val="18"/>
                <w:vertAlign w:val="superscript"/>
              </w:rPr>
              <w:t>-4</w:t>
            </w:r>
            <w:r>
              <w:rPr>
                <w:sz w:val="18"/>
                <w:szCs w:val="18"/>
              </w:rPr>
              <w:t>x</w:t>
            </w:r>
            <w:r>
              <w:rPr>
                <w:sz w:val="18"/>
                <w:szCs w:val="18"/>
                <w:vertAlign w:val="superscript"/>
              </w:rPr>
              <w:t>2</w:t>
            </w:r>
            <w:r>
              <w:rPr>
                <w:sz w:val="18"/>
                <w:szCs w:val="18"/>
              </w:rPr>
              <w:t xml:space="preserve"> +0.710</w:t>
            </w:r>
          </w:p>
        </w:tc>
        <w:tc>
          <w:tcPr>
            <w:tcW w:w="1134" w:type="dxa"/>
            <w:tcBorders>
              <w:bottom w:val="single" w:color="365F91" w:sz="12" w:space="0"/>
            </w:tcBorders>
            <w:shd w:val="clear" w:color="auto" w:fill="B6DDE8"/>
            <w:vAlign w:val="center"/>
          </w:tcPr>
          <w:p>
            <w:pPr>
              <w:jc w:val="center"/>
              <w:rPr>
                <w:sz w:val="18"/>
                <w:szCs w:val="18"/>
              </w:rPr>
            </w:pPr>
            <w:r>
              <w:rPr>
                <w:sz w:val="18"/>
                <w:szCs w:val="18"/>
              </w:rPr>
              <w:t>0.563</w:t>
            </w:r>
          </w:p>
        </w:tc>
        <w:tc>
          <w:tcPr>
            <w:tcW w:w="1050" w:type="dxa"/>
            <w:tcBorders>
              <w:bottom w:val="single" w:color="365F91" w:sz="12" w:space="0"/>
            </w:tcBorders>
            <w:shd w:val="clear" w:color="auto" w:fill="B6DDE8"/>
            <w:vAlign w:val="center"/>
          </w:tcPr>
          <w:p>
            <w:pPr>
              <w:jc w:val="center"/>
              <w:rPr>
                <w:sz w:val="18"/>
                <w:szCs w:val="18"/>
              </w:rPr>
            </w:pPr>
            <w:r>
              <w:rPr>
                <w:sz w:val="18"/>
                <w:szCs w:val="18"/>
              </w:rPr>
              <w:t>-79.944</w:t>
            </w:r>
          </w:p>
        </w:tc>
        <w:tc>
          <w:tcPr>
            <w:tcW w:w="1685" w:type="dxa"/>
            <w:tcBorders>
              <w:bottom w:val="single" w:color="365F91" w:sz="12" w:space="0"/>
            </w:tcBorders>
            <w:shd w:val="clear" w:color="auto" w:fill="B6DDE8"/>
            <w:vAlign w:val="center"/>
          </w:tcPr>
          <w:p>
            <w:pPr>
              <w:jc w:val="center"/>
              <w:rPr>
                <w:sz w:val="18"/>
                <w:szCs w:val="18"/>
              </w:rPr>
            </w:pPr>
            <w:r>
              <w:rPr>
                <w:sz w:val="18"/>
                <w:szCs w:val="18"/>
              </w:rPr>
              <w:t>1.834×10</w:t>
            </w:r>
            <w:r>
              <w:rPr>
                <w:sz w:val="18"/>
                <w:szCs w:val="18"/>
                <w:vertAlign w:val="superscript"/>
              </w:rPr>
              <w:t>-12</w:t>
            </w:r>
          </w:p>
        </w:tc>
      </w:tr>
    </w:tbl>
    <w:p>
      <w:pPr>
        <w:pStyle w:val="41"/>
        <w:spacing w:line="320" w:lineRule="exact"/>
        <w:ind w:firstLine="0" w:firstLineChars="0"/>
        <w:jc w:val="center"/>
        <w:rPr>
          <w:szCs w:val="21"/>
        </w:rPr>
      </w:pPr>
      <w:r>
        <w:rPr>
          <w:rFonts w:ascii="Times New Roman" w:hAnsi="Times New Roman" w:eastAsia="宋体" w:cs="Times New Roman"/>
          <w:kern w:val="2"/>
          <w:sz w:val="21"/>
          <w:szCs w:val="21"/>
          <w:lang w:val="en-US" w:eastAsia="zh-CN" w:bidi="ar-SA"/>
        </w:rPr>
        <w:pict>
          <v:shape id="图片 8" o:spid="_x0000_s1041" type="#_x0000_t75" style="position:absolute;left:0;margin-top:7.1pt;height:198pt;width:213.85pt;mso-position-horizontal:center;mso-position-horizontal-relative:margin;mso-wrap-distance-bottom:0pt;mso-wrap-distance-left:9pt;mso-wrap-distance-right:9pt;mso-wrap-distance-top:0pt;rotation:0f;z-index:251666432;" o:ole="f" fillcolor="#FFFFFF" filled="f" o:preferrelative="t" stroked="f" coordorigin="0,0" coordsize="21600,21600">
            <v:fill on="f" color2="#FFFFFF" focus="0%"/>
            <v:imagedata croptop="5331f" gain="65536f" blacklevel="0f" gamma="0" o:title="" r:id="rId33"/>
            <o:lock v:ext="edit" position="f" selection="f" grouping="f" rotation="f" cropping="f" text="f" aspectratio="t"/>
            <w10:wrap type="square"/>
          </v:shape>
        </w:pict>
      </w: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jc w:val="center"/>
        <w:rPr>
          <w:szCs w:val="21"/>
        </w:rPr>
      </w:pPr>
    </w:p>
    <w:p>
      <w:pPr>
        <w:pStyle w:val="41"/>
        <w:spacing w:line="320" w:lineRule="exact"/>
        <w:ind w:firstLine="0" w:firstLineChars="0"/>
        <w:rPr>
          <w:szCs w:val="21"/>
        </w:rPr>
      </w:pPr>
    </w:p>
    <w:p>
      <w:pPr>
        <w:pStyle w:val="41"/>
        <w:spacing w:line="320" w:lineRule="exact"/>
        <w:ind w:firstLine="0" w:firstLineChars="0"/>
        <w:jc w:val="center"/>
        <w:rPr>
          <w:szCs w:val="21"/>
        </w:rPr>
      </w:pPr>
      <w:r>
        <w:rPr>
          <w:szCs w:val="21"/>
        </w:rPr>
        <w:t>图7 恢复力随沙粒含量变化的回归曲线图</w:t>
      </w:r>
    </w:p>
    <w:p>
      <w:pPr>
        <w:pStyle w:val="58"/>
        <w:spacing w:before="120" w:after="120" w:line="320" w:lineRule="exact"/>
        <w:ind w:leftChars="200"/>
        <w:rPr>
          <w:rFonts w:eastAsia="宋体"/>
          <w:sz w:val="24"/>
          <w:szCs w:val="24"/>
        </w:rPr>
      </w:pPr>
      <w:bookmarkStart w:id="70" w:name="_Toc421642990"/>
      <w:bookmarkEnd w:id="70"/>
      <w:bookmarkStart w:id="71" w:name="_Toc421887806"/>
      <w:r>
        <w:rPr>
          <w:rFonts w:eastAsia="宋体"/>
          <w:sz w:val="24"/>
          <w:szCs w:val="24"/>
        </w:rPr>
        <w:t>对策与建议</w:t>
      </w:r>
      <w:bookmarkEnd w:id="71"/>
      <w:r>
        <w:rPr>
          <w:rFonts w:eastAsia="宋体"/>
          <w:sz w:val="24"/>
          <w:szCs w:val="24"/>
        </w:rPr>
        <w:t xml:space="preserve"> </w:t>
      </w:r>
    </w:p>
    <w:p>
      <w:pPr>
        <w:adjustRightInd w:val="0"/>
        <w:spacing w:line="320" w:lineRule="exact"/>
        <w:ind w:firstLine="420" w:firstLineChars="200"/>
        <w:rPr>
          <w:szCs w:val="21"/>
        </w:rPr>
      </w:pPr>
      <w:r>
        <w:rPr>
          <w:szCs w:val="21"/>
        </w:rPr>
        <w:t>重金属污染土壤的生态功能修复研究，必须实现由实验室研究向实用阶段的过渡。因此，本研究针对重金属污染土壤的生态修复工作，提出以下对策与建议：</w:t>
      </w:r>
    </w:p>
    <w:p>
      <w:pPr>
        <w:pStyle w:val="48"/>
        <w:numPr>
          <w:ilvl w:val="0"/>
          <w:numId w:val="10"/>
        </w:numPr>
        <w:spacing w:line="320" w:lineRule="exact"/>
        <w:ind w:left="840" w:leftChars="200" w:firstLineChars="0"/>
        <w:outlineLvl w:val="3"/>
        <w:rPr>
          <w:b/>
          <w:bCs/>
        </w:rPr>
      </w:pPr>
      <w:bookmarkStart w:id="72" w:name="_Toc421887807"/>
      <w:r>
        <w:rPr>
          <w:b/>
          <w:bCs/>
        </w:rPr>
        <w:t>土壤pH的调节</w:t>
      </w:r>
      <w:bookmarkEnd w:id="72"/>
    </w:p>
    <w:p>
      <w:pPr>
        <w:adjustRightInd w:val="0"/>
        <w:spacing w:line="320" w:lineRule="exact"/>
        <w:ind w:firstLine="420" w:firstLineChars="200"/>
        <w:rPr>
          <w:szCs w:val="21"/>
        </w:rPr>
      </w:pPr>
      <w:r>
        <w:rPr>
          <w:szCs w:val="21"/>
        </w:rPr>
        <w:t>根据上述所建立的模型，土壤抵抗力与pH呈显著正相关关系，即实际情况中，在土壤受污染初期可以通过调节pH提高土壤抵抗力，降低重金属的毒性危害。</w:t>
      </w:r>
    </w:p>
    <w:p>
      <w:pPr>
        <w:adjustRightInd w:val="0"/>
        <w:spacing w:line="320" w:lineRule="exact"/>
        <w:ind w:firstLine="420" w:firstLineChars="200"/>
        <w:rPr>
          <w:szCs w:val="21"/>
        </w:rPr>
      </w:pPr>
      <w:r>
        <w:rPr>
          <w:szCs w:val="21"/>
        </w:rPr>
        <w:t>对于酸性土壤，可以利用碱渣、菇渣、污泥、泥炭等土壤调理剂来提升土壤pH值，同时提高土壤有机质，改善土壤肥力</w:t>
      </w:r>
      <w:r>
        <w:rPr>
          <w:szCs w:val="21"/>
          <w:vertAlign w:val="superscript"/>
        </w:rPr>
        <w:t>[24]</w:t>
      </w:r>
      <w:r>
        <w:rPr>
          <w:szCs w:val="21"/>
        </w:rPr>
        <w:t>。另外，也可以施用石灰来中和土壤酸度，但此方法对作物不安全，且会使大量石灰残留在土中，对土壤的负面影响大，故不提倡使用。如果用腐熟农家肥加石灰液浇穴，可以降低对土壤的危害，同时也能起到调节pH的目的</w:t>
      </w:r>
      <w:r>
        <w:rPr>
          <w:szCs w:val="21"/>
          <w:vertAlign w:val="superscript"/>
        </w:rPr>
        <w:t>[25]</w:t>
      </w:r>
      <w:r>
        <w:rPr>
          <w:szCs w:val="21"/>
        </w:rPr>
        <w:t>。对于中性以及碱性土壤，可以通过增施农家肥来调节土壤pH，增加土壤有机质，促进微生物活动，提高土壤抵抗力。</w:t>
      </w:r>
    </w:p>
    <w:p>
      <w:pPr>
        <w:pStyle w:val="48"/>
        <w:numPr>
          <w:ilvl w:val="0"/>
          <w:numId w:val="10"/>
        </w:numPr>
        <w:spacing w:line="320" w:lineRule="exact"/>
        <w:ind w:left="840" w:leftChars="200" w:firstLineChars="0"/>
        <w:outlineLvl w:val="3"/>
        <w:rPr>
          <w:b/>
          <w:bCs/>
        </w:rPr>
      </w:pPr>
      <w:bookmarkStart w:id="73" w:name="_Toc421887808"/>
      <w:r>
        <w:rPr>
          <w:b/>
          <w:bCs/>
        </w:rPr>
        <w:t>土壤沙粒含量的调节</w:t>
      </w:r>
      <w:bookmarkEnd w:id="73"/>
    </w:p>
    <w:p>
      <w:pPr>
        <w:adjustRightInd w:val="0"/>
        <w:spacing w:line="320" w:lineRule="exact"/>
        <w:ind w:firstLine="420" w:firstLineChars="200"/>
        <w:rPr>
          <w:szCs w:val="21"/>
        </w:rPr>
      </w:pPr>
      <w:r>
        <w:rPr>
          <w:szCs w:val="21"/>
        </w:rPr>
        <w:t>本研究通过模型构建得到了土壤恢复力与沙粒含量的显著负相关关系，即在实际操作中，可以通过降低土壤沙粒含量以达到提高土壤恢复力，加速土壤修复解毒的目的。</w:t>
      </w:r>
    </w:p>
    <w:p>
      <w:pPr>
        <w:adjustRightInd w:val="0"/>
        <w:spacing w:line="320" w:lineRule="exact"/>
        <w:ind w:firstLine="420" w:firstLineChars="200"/>
        <w:rPr>
          <w:szCs w:val="21"/>
        </w:rPr>
      </w:pPr>
      <w:r>
        <w:rPr>
          <w:szCs w:val="21"/>
        </w:rPr>
        <w:t>在土壤修复过程中，建议操作者采用增加有机粪肥，秸秆还田，粮肥轮作、间作、用地养地结合以及栽培绿肥等方式提高土壤有机质含量，或通过犁地、提高土壤含水率、增加植被覆盖率等方式最终实现降低土壤沙粒含量的目的，从而提高土壤恢复力，加速土壤修复解毒。</w:t>
      </w:r>
    </w:p>
    <w:p>
      <w:pPr>
        <w:adjustRightInd w:val="0"/>
        <w:spacing w:line="320" w:lineRule="exact"/>
        <w:ind w:firstLine="420" w:firstLineChars="200"/>
        <w:rPr>
          <w:szCs w:val="21"/>
        </w:rPr>
      </w:pPr>
      <w:r>
        <w:rPr>
          <w:szCs w:val="21"/>
        </w:rPr>
        <w:t>除了上述提及的方式，还可以通过换土、热处理等方法实现降低土壤沙粒含量的目的，但由于此类方法经济成本过高，可操作性不强，故不提倡使用。</w:t>
      </w:r>
    </w:p>
    <w:p>
      <w:pPr>
        <w:pStyle w:val="50"/>
        <w:widowControl w:val="0"/>
        <w:spacing w:beforeLines="100" w:afterLines="50" w:line="320" w:lineRule="exact"/>
        <w:ind w:firstLine="0" w:firstLineChars="0"/>
        <w:jc w:val="both"/>
        <w:outlineLvl w:val="1"/>
        <w:rPr>
          <w:rFonts w:ascii="Times New Roman" w:hAnsi="Times New Roman"/>
          <w:b/>
          <w:bCs/>
          <w:sz w:val="21"/>
          <w:szCs w:val="21"/>
        </w:rPr>
        <w:sectPr>
          <w:type w:val="continuous"/>
          <w:pgSz w:w="11906" w:h="16838"/>
          <w:pgMar w:top="1418" w:right="1644" w:bottom="1418" w:left="1644" w:header="851" w:footer="851" w:gutter="0"/>
          <w:cols w:space="720" w:num="1"/>
          <w:titlePg/>
          <w:docGrid w:linePitch="326" w:charSpace="0"/>
        </w:sectPr>
      </w:pPr>
    </w:p>
    <w:p>
      <w:pPr>
        <w:pStyle w:val="2"/>
        <w:numPr>
          <w:ilvl w:val="0"/>
          <w:numId w:val="5"/>
        </w:numPr>
        <w:spacing w:beforeLines="100" w:afterLines="100" w:line="320" w:lineRule="exact"/>
        <w:jc w:val="center"/>
        <w:rPr>
          <w:rFonts w:ascii="Times New Roman" w:hAnsi="Times New Roman" w:eastAsia="黑体" w:cs="Times New Roman"/>
          <w:b w:val="0"/>
          <w:sz w:val="28"/>
          <w:szCs w:val="28"/>
        </w:rPr>
      </w:pPr>
      <w:bookmarkStart w:id="74" w:name="_Toc421887809"/>
      <w:r>
        <w:rPr>
          <w:rFonts w:ascii="Times New Roman" w:hAnsi="黑体" w:eastAsia="黑体" w:cs="Times New Roman"/>
          <w:b w:val="0"/>
          <w:sz w:val="28"/>
          <w:szCs w:val="28"/>
        </w:rPr>
        <w:t>结</w:t>
      </w:r>
      <w:r>
        <w:rPr>
          <w:rFonts w:ascii="Times New Roman" w:hAnsi="Times New Roman" w:eastAsia="黑体" w:cs="Times New Roman"/>
          <w:b w:val="0"/>
          <w:sz w:val="28"/>
          <w:szCs w:val="28"/>
        </w:rPr>
        <w:t xml:space="preserve">  </w:t>
      </w:r>
      <w:r>
        <w:rPr>
          <w:rFonts w:ascii="Times New Roman" w:hAnsi="黑体" w:eastAsia="黑体" w:cs="Times New Roman"/>
          <w:b w:val="0"/>
          <w:sz w:val="28"/>
          <w:szCs w:val="28"/>
        </w:rPr>
        <w:t>论</w:t>
      </w:r>
      <w:bookmarkEnd w:id="74"/>
    </w:p>
    <w:p>
      <w:pPr>
        <w:pStyle w:val="41"/>
        <w:spacing w:line="320" w:lineRule="exact"/>
        <w:rPr>
          <w:szCs w:val="21"/>
        </w:rPr>
      </w:pPr>
      <w:r>
        <w:rPr>
          <w:szCs w:val="21"/>
        </w:rPr>
        <w:t>本研究筛选了全国范围内24个省份地区、8种不同质地类型的土壤样品作为研究对象，对土壤CO</w:t>
      </w:r>
      <w:r>
        <w:rPr>
          <w:szCs w:val="21"/>
          <w:vertAlign w:val="subscript"/>
        </w:rPr>
        <w:t>2</w:t>
      </w:r>
      <w:r>
        <w:rPr>
          <w:szCs w:val="21"/>
        </w:rPr>
        <w:t>呼吸速率、理化性质、微生物群落结构等指标进行测定。结果表明，土壤受到重金属Cu胁迫后会出现功能稳定性下降的现象，但对于自身生态系统稳定性较好的土壤，会修复Cu胁迫带来的毒性危害。此外，本研究通过相关性分析得到了6项土壤理化性质指标与土壤功能抵抗力、恢复力的关系，结果显示，各指标要素对抵抗力影响程度依次为：pH＞粘粒含量＞CEC＞DOC＞沙粒含量＞C/N；对恢复力影响程度依次为：沙粒含量＞C/N＞DOC＞CEC＞粘粒含量＞pH。其中，pH与抵抗力满足P</w:t>
      </w:r>
      <w:bookmarkStart w:id="75" w:name="OLE_LINK15"/>
      <w:r>
        <w:rPr>
          <w:szCs w:val="21"/>
        </w:rPr>
        <w:t>＜</w:t>
      </w:r>
      <w:bookmarkEnd w:id="75"/>
      <w:r>
        <w:rPr>
          <w:szCs w:val="21"/>
        </w:rPr>
        <w:fldChar w:fldCharType="begin"/>
      </w:r>
      <w:r>
        <w:rPr>
          <w:szCs w:val="21"/>
        </w:rPr>
        <w:instrText xml:space="preserve"> QUOTE </w:instrText>
      </w:r>
      <w:r>
        <w:rPr>
          <w:rFonts w:ascii="Times New Roman" w:hAnsi="Times New Roman" w:eastAsia="宋体" w:cs="Times New Roman"/>
          <w:kern w:val="2"/>
          <w:sz w:val="21"/>
          <w:szCs w:val="21"/>
          <w:lang w:val="en-US" w:eastAsia="zh-CN" w:bidi="ar-SA"/>
        </w:rPr>
        <w:pict>
          <v:shape id="图片 22" o:spid="_x0000_s1042" type="#_x0000_t75" style="height:14.4pt;width:10pt;rotation:0f;" o:ole="f" fillcolor="#FFFFFF" filled="f" o:preferrelative="t" stroked="f" coordorigin="0,0" coordsize="21600,21600">
            <v:fill on="f" color2="#FFFFFF" focus="0%"/>
            <v:imagedata gain="65536f" blacklevel="0f" gamma="0" chromakey="#FFFFFF" o:title="" r:id="rId30"/>
            <o:lock v:ext="edit" position="f" selection="f" grouping="f" rotation="f" cropping="f" text="f" aspectratio="t"/>
            <w10:wrap type="none"/>
            <w10:anchorlock/>
          </v:shape>
        </w:pict>
      </w:r>
      <w:r>
        <w:rPr>
          <w:szCs w:val="21"/>
        </w:rPr>
        <w:instrText xml:space="preserve"> </w:instrText>
      </w:r>
      <w:r>
        <w:rPr>
          <w:szCs w:val="21"/>
        </w:rPr>
        <w:fldChar w:fldCharType="end"/>
      </w:r>
      <w:r>
        <w:rPr>
          <w:szCs w:val="21"/>
        </w:rPr>
        <w:t>0.05显著正相关，通过模型构建得到的线性回归方程为y=0.059x+0.401（R</w:t>
      </w:r>
      <w:r>
        <w:rPr>
          <w:szCs w:val="21"/>
          <w:vertAlign w:val="superscript"/>
        </w:rPr>
        <w:t>2</w:t>
      </w:r>
      <w:r>
        <w:rPr>
          <w:szCs w:val="21"/>
        </w:rPr>
        <w:t>=0.717）；沙粒含量与恢复力满足P＜0.01显著负相关，其拟合效果最好的同样是线性模型，方程为y=-0.010x+1.276（R</w:t>
      </w:r>
      <w:r>
        <w:rPr>
          <w:szCs w:val="21"/>
          <w:vertAlign w:val="superscript"/>
        </w:rPr>
        <w:t>2</w:t>
      </w:r>
      <w:r>
        <w:rPr>
          <w:szCs w:val="21"/>
        </w:rPr>
        <w:t>=0.670），最终实现了对土壤抵抗力、恢复力的定量化表征。同时，为确保实验土壤样品在整个实验过程中均符合实验要求，研究还通过微生物定性定量分析结果，计算得到了24种土壤样品的Shannon-Wiener 指数，结果表明受到重金属Cu胁迫前后的土壤微生物均具有较高的多样性和均匀性，说明所施加的Cu剂量未超出土壤的环境承载力，验证了实验土壤的研究价值与实验设计的合理性。</w:t>
      </w:r>
    </w:p>
    <w:p>
      <w:pPr>
        <w:pStyle w:val="41"/>
        <w:spacing w:line="320" w:lineRule="exact"/>
        <w:rPr>
          <w:szCs w:val="21"/>
        </w:rPr>
      </w:pPr>
      <w:r>
        <w:rPr>
          <w:szCs w:val="21"/>
        </w:rPr>
        <w:t>本研究发现，通过调节pH、沙粒含量两项关键影响因素，均可显著提升各种类型土壤的修复能力，为重金属污染的土壤生态修复实践提供了新的技术路径，具有较高的实际应用价值。即在污染前期可以通过添加土壤调理剂，增施农家肥，施用石灰等方式来提升土壤pH值，进而提高土壤抵抗力，降低重金属的毒性危害；在污染中、后期可以通过增加有机质含量、犁地、提高土壤含水率或增加制备覆盖率等方式实现降低土壤沙粒含量的目的，从而提高土壤恢复力，加速土壤修复解毒。</w:t>
      </w:r>
    </w:p>
    <w:p>
      <w:pPr>
        <w:pStyle w:val="41"/>
        <w:spacing w:line="320" w:lineRule="exact"/>
        <w:rPr>
          <w:szCs w:val="21"/>
        </w:rPr>
      </w:pPr>
      <w:r>
        <w:rPr>
          <w:szCs w:val="21"/>
        </w:rPr>
        <w:t>本研究通过大尺度采样，多元理化指标分析，实现了系统化、定量化表征土壤修复能力的目标，研究方法具有独创性，为重金属污染的土壤生态修复研究提供了新思路。然而若要得到更多更可靠的结论及规律，仍需通过扩大采样区域、增加土壤种类、增设其它重金属污染物胁迫类型以及进一步探索复合污染胁迫，来验证关键性影响因素与土壤生态系统稳定性之间关系的量化表征模型。此外，目前还有许多相关课题尚处于初步研究阶段，例如土壤微生物重金属胁迫的根际效应、离子效应等，这些也都需要进行后续研究。</w:t>
      </w:r>
    </w:p>
    <w:p>
      <w:pPr>
        <w:pStyle w:val="41"/>
        <w:spacing w:line="320" w:lineRule="exact"/>
        <w:sectPr>
          <w:pgSz w:w="11906" w:h="16838"/>
          <w:pgMar w:top="1418" w:right="1644" w:bottom="1418" w:left="1644" w:header="851" w:footer="851" w:gutter="0"/>
          <w:cols w:space="720" w:num="1"/>
          <w:titlePg/>
          <w:docGrid w:linePitch="326" w:charSpace="0"/>
        </w:sectPr>
      </w:pPr>
    </w:p>
    <w:p>
      <w:pPr>
        <w:pStyle w:val="2"/>
        <w:spacing w:line="560" w:lineRule="exact"/>
        <w:ind w:left="420" w:leftChars="200"/>
        <w:rPr>
          <w:rFonts w:hint="eastAsia" w:ascii="仿宋_GB2312" w:hAnsi="Times New Roman" w:eastAsia="仿宋_GB2312" w:cs="Times New Roman"/>
          <w:sz w:val="24"/>
          <w:szCs w:val="24"/>
        </w:rPr>
      </w:pPr>
      <w:bookmarkStart w:id="76" w:name="_Toc421887810"/>
      <w:r>
        <w:rPr>
          <w:rFonts w:hint="eastAsia" w:ascii="仿宋_GB2312" w:hAnsi="黑体" w:eastAsia="仿宋_GB2312" w:cs="Times New Roman"/>
          <w:sz w:val="24"/>
          <w:szCs w:val="24"/>
        </w:rPr>
        <w:t>参考文献</w:t>
      </w:r>
      <w:bookmarkEnd w:id="76"/>
    </w:p>
    <w:p>
      <w:pPr>
        <w:pStyle w:val="41"/>
        <w:numPr>
          <w:ilvl w:val="0"/>
          <w:numId w:val="11"/>
        </w:numPr>
        <w:autoSpaceDE w:val="0"/>
        <w:autoSpaceDN w:val="0"/>
        <w:adjustRightInd w:val="0"/>
        <w:spacing w:line="360" w:lineRule="exact"/>
        <w:ind w:left="0" w:firstLine="360"/>
        <w:rPr>
          <w:sz w:val="18"/>
          <w:szCs w:val="18"/>
        </w:rPr>
      </w:pPr>
      <w:r>
        <w:rPr>
          <w:sz w:val="18"/>
          <w:szCs w:val="18"/>
        </w:rPr>
        <w:t>宋伟, 陈百明, 刘琳. 中国耕地土壤重金属污染概况[J]. 水土保持研究, 2013,20(2): 293-298.</w:t>
      </w:r>
    </w:p>
    <w:p>
      <w:pPr>
        <w:pStyle w:val="41"/>
        <w:numPr>
          <w:ilvl w:val="0"/>
          <w:numId w:val="11"/>
        </w:numPr>
        <w:autoSpaceDE w:val="0"/>
        <w:autoSpaceDN w:val="0"/>
        <w:adjustRightInd w:val="0"/>
        <w:spacing w:line="360" w:lineRule="exact"/>
        <w:ind w:left="0" w:firstLine="360"/>
        <w:rPr>
          <w:sz w:val="18"/>
          <w:szCs w:val="18"/>
        </w:rPr>
      </w:pPr>
      <w:r>
        <w:rPr>
          <w:sz w:val="18"/>
          <w:szCs w:val="18"/>
        </w:rPr>
        <w:t xml:space="preserve">李小方, 邓欢, 黄益宗, 王新军, 朱永官. 土壤生态系统稳定性研究进展[J]. 生态学报, 2009, 29(12): 6712-6722. </w:t>
      </w:r>
    </w:p>
    <w:p>
      <w:pPr>
        <w:pStyle w:val="41"/>
        <w:numPr>
          <w:ilvl w:val="0"/>
          <w:numId w:val="11"/>
        </w:numPr>
        <w:autoSpaceDE w:val="0"/>
        <w:autoSpaceDN w:val="0"/>
        <w:adjustRightInd w:val="0"/>
        <w:spacing w:line="360" w:lineRule="exact"/>
        <w:ind w:left="0" w:firstLine="360"/>
        <w:rPr>
          <w:sz w:val="18"/>
          <w:szCs w:val="18"/>
        </w:rPr>
      </w:pPr>
      <w:r>
        <w:rPr>
          <w:sz w:val="18"/>
          <w:szCs w:val="18"/>
        </w:rPr>
        <w:t>张彦, 张慧文, 苏振成, 张成刚. 长期重金属胁迫对农田土壤微生物生物量、活性和种群的影响[J]. 应用与环境生物学报, 2007, 18(7): 1491-1497.</w:t>
      </w:r>
    </w:p>
    <w:p>
      <w:pPr>
        <w:pStyle w:val="41"/>
        <w:numPr>
          <w:ilvl w:val="0"/>
          <w:numId w:val="11"/>
        </w:numPr>
        <w:autoSpaceDE w:val="0"/>
        <w:autoSpaceDN w:val="0"/>
        <w:adjustRightInd w:val="0"/>
        <w:spacing w:line="360" w:lineRule="exact"/>
        <w:ind w:left="0" w:firstLine="360"/>
        <w:rPr>
          <w:sz w:val="18"/>
          <w:szCs w:val="18"/>
        </w:rPr>
      </w:pPr>
      <w:r>
        <w:rPr>
          <w:sz w:val="18"/>
          <w:szCs w:val="18"/>
        </w:rPr>
        <w:t>McCann K S. The diversity-stability debate[J]. Nature, 2000, 405(6788): 228-233.</w:t>
      </w:r>
    </w:p>
    <w:p>
      <w:pPr>
        <w:pStyle w:val="41"/>
        <w:numPr>
          <w:ilvl w:val="0"/>
          <w:numId w:val="11"/>
        </w:numPr>
        <w:autoSpaceDE w:val="0"/>
        <w:autoSpaceDN w:val="0"/>
        <w:adjustRightInd w:val="0"/>
        <w:spacing w:line="360" w:lineRule="exact"/>
        <w:ind w:left="0" w:firstLine="360"/>
        <w:rPr>
          <w:sz w:val="18"/>
          <w:szCs w:val="18"/>
        </w:rPr>
      </w:pPr>
      <w:r>
        <w:rPr>
          <w:sz w:val="18"/>
          <w:szCs w:val="18"/>
        </w:rPr>
        <w:t>Seybold C A, Herrick J E, Brejda J J. Soil resilience: a fundamental component of soil quality[J]. Soil Science, 1999, 164(4): 224-234.</w:t>
      </w:r>
    </w:p>
    <w:p>
      <w:pPr>
        <w:pStyle w:val="41"/>
        <w:numPr>
          <w:ilvl w:val="0"/>
          <w:numId w:val="11"/>
        </w:numPr>
        <w:autoSpaceDE w:val="0"/>
        <w:autoSpaceDN w:val="0"/>
        <w:adjustRightInd w:val="0"/>
        <w:spacing w:line="360" w:lineRule="exact"/>
        <w:ind w:left="0" w:firstLine="360"/>
        <w:rPr>
          <w:sz w:val="18"/>
          <w:szCs w:val="18"/>
        </w:rPr>
      </w:pPr>
      <w:r>
        <w:rPr>
          <w:sz w:val="18"/>
          <w:szCs w:val="18"/>
        </w:rPr>
        <w:t>Griffiths B S, Bitz K, Wheatley R, Kuan H L, Boag B, Christensen S, Ekelund F, Sorensen S J, Muller S, Bloem J. An examination of the biodiversity-ecosystem function relationship in arable soil microbial communities[J]. Soil Biology &amp; Biochemistry, 2001, 33(12-13): 1713-1722.</w:t>
      </w:r>
    </w:p>
    <w:p>
      <w:pPr>
        <w:pStyle w:val="41"/>
        <w:numPr>
          <w:ilvl w:val="0"/>
          <w:numId w:val="11"/>
        </w:numPr>
        <w:autoSpaceDE w:val="0"/>
        <w:autoSpaceDN w:val="0"/>
        <w:adjustRightInd w:val="0"/>
        <w:spacing w:line="360" w:lineRule="exact"/>
        <w:ind w:left="0" w:firstLine="360"/>
        <w:rPr>
          <w:sz w:val="18"/>
          <w:szCs w:val="18"/>
        </w:rPr>
      </w:pPr>
      <w:r>
        <w:rPr>
          <w:sz w:val="18"/>
          <w:szCs w:val="18"/>
        </w:rPr>
        <w:t>Kuan H L, Fenwick C, Glover L A, Griffiths B S, Ritz K. Functional resilience of microbial from perturbed upland grassland soils to further persistent or transient stresses[J]. Soil Biology&amp; Biochemistry, 2001, 33(4-5): 533-551.</w:t>
      </w:r>
    </w:p>
    <w:p>
      <w:pPr>
        <w:pStyle w:val="41"/>
        <w:numPr>
          <w:ilvl w:val="0"/>
          <w:numId w:val="11"/>
        </w:numPr>
        <w:autoSpaceDE w:val="0"/>
        <w:autoSpaceDN w:val="0"/>
        <w:adjustRightInd w:val="0"/>
        <w:spacing w:line="360" w:lineRule="exact"/>
        <w:ind w:left="0" w:firstLine="360"/>
        <w:rPr>
          <w:sz w:val="18"/>
          <w:szCs w:val="18"/>
        </w:rPr>
      </w:pPr>
      <w:r>
        <w:rPr>
          <w:sz w:val="18"/>
          <w:szCs w:val="18"/>
        </w:rPr>
        <w:t>Renella G, Chaudri A M, Brookes P C. Fresh additions of heavy metals do not model long-term effects on microbial biomass and activity[J]. Soil Biology&amp; Biochemistry, 2002, 34(1):121-124.</w:t>
      </w:r>
    </w:p>
    <w:p>
      <w:pPr>
        <w:pStyle w:val="41"/>
        <w:numPr>
          <w:ilvl w:val="0"/>
          <w:numId w:val="11"/>
        </w:numPr>
        <w:autoSpaceDE w:val="0"/>
        <w:autoSpaceDN w:val="0"/>
        <w:adjustRightInd w:val="0"/>
        <w:spacing w:line="360" w:lineRule="exact"/>
        <w:ind w:left="0" w:firstLine="360"/>
        <w:rPr>
          <w:sz w:val="18"/>
          <w:szCs w:val="18"/>
        </w:rPr>
      </w:pPr>
      <w:r>
        <w:rPr>
          <w:sz w:val="18"/>
          <w:szCs w:val="18"/>
        </w:rPr>
        <w:t>Jirsa V K, Ding M Z. Will a large complex systems with time delays be stable? Physical Review Letters, 2004, 93(7), 070602.</w:t>
      </w:r>
    </w:p>
    <w:p>
      <w:pPr>
        <w:pStyle w:val="41"/>
        <w:numPr>
          <w:ilvl w:val="0"/>
          <w:numId w:val="11"/>
        </w:numPr>
        <w:autoSpaceDE w:val="0"/>
        <w:autoSpaceDN w:val="0"/>
        <w:adjustRightInd w:val="0"/>
        <w:spacing w:line="360" w:lineRule="exact"/>
        <w:ind w:left="0" w:firstLine="360"/>
        <w:rPr>
          <w:sz w:val="18"/>
          <w:szCs w:val="18"/>
        </w:rPr>
      </w:pPr>
      <w:r>
        <w:rPr>
          <w:sz w:val="18"/>
          <w:szCs w:val="18"/>
        </w:rPr>
        <w:t>Caporaso J G, Kuczynski J, Stombaugh J, Bittinger K, Bushman F D, Costello E K. et al. Qiime allows analysis of high-throughput community sequencing data[J]. Nat Meth, 2012, 7: 335-336.</w:t>
      </w:r>
    </w:p>
    <w:p>
      <w:pPr>
        <w:pStyle w:val="41"/>
        <w:numPr>
          <w:ilvl w:val="0"/>
          <w:numId w:val="11"/>
        </w:numPr>
        <w:autoSpaceDE w:val="0"/>
        <w:autoSpaceDN w:val="0"/>
        <w:adjustRightInd w:val="0"/>
        <w:spacing w:line="360" w:lineRule="exact"/>
        <w:ind w:left="0" w:firstLine="360"/>
        <w:rPr>
          <w:sz w:val="18"/>
          <w:szCs w:val="18"/>
        </w:rPr>
      </w:pPr>
      <w:r>
        <w:rPr>
          <w:sz w:val="18"/>
          <w:szCs w:val="18"/>
        </w:rPr>
        <w:t>李天杰等．土壤地理学[M]．高等教育出版社，2009.</w:t>
      </w:r>
    </w:p>
    <w:p>
      <w:pPr>
        <w:pStyle w:val="44"/>
        <w:numPr>
          <w:ilvl w:val="0"/>
          <w:numId w:val="11"/>
        </w:numPr>
        <w:spacing w:line="360" w:lineRule="exact"/>
        <w:ind w:left="0" w:firstLine="360" w:firstLineChars="200"/>
        <w:jc w:val="both"/>
        <w:rPr>
          <w:rFonts w:eastAsia="宋体"/>
          <w:color w:val="auto"/>
          <w:sz w:val="18"/>
          <w:szCs w:val="18"/>
        </w:rPr>
      </w:pPr>
      <w:r>
        <w:rPr>
          <w:rFonts w:eastAsia="宋体"/>
          <w:color w:val="auto"/>
          <w:sz w:val="18"/>
          <w:szCs w:val="18"/>
        </w:rPr>
        <w:t xml:space="preserve">巴奇, 李科, 姬洪刚等. 土壤中有机碳和氮素的变化过程研究概况[J]. 环境保护与经济循环, 2008: 49～51. </w:t>
      </w:r>
    </w:p>
    <w:p>
      <w:pPr>
        <w:pStyle w:val="44"/>
        <w:numPr>
          <w:ilvl w:val="0"/>
          <w:numId w:val="11"/>
        </w:numPr>
        <w:spacing w:line="360" w:lineRule="exact"/>
        <w:ind w:left="0" w:firstLine="360" w:firstLineChars="200"/>
        <w:jc w:val="both"/>
        <w:rPr>
          <w:rFonts w:eastAsia="宋体"/>
          <w:color w:val="auto"/>
          <w:sz w:val="18"/>
          <w:szCs w:val="18"/>
        </w:rPr>
      </w:pPr>
      <w:r>
        <w:rPr>
          <w:rFonts w:eastAsia="宋体"/>
          <w:color w:val="auto"/>
          <w:sz w:val="18"/>
          <w:szCs w:val="18"/>
        </w:rPr>
        <w:t>李生秀．中国旱地土壤植物氮素[M]．北京:科学出版社，2008：3～70．</w:t>
      </w:r>
    </w:p>
    <w:p>
      <w:pPr>
        <w:pStyle w:val="44"/>
        <w:numPr>
          <w:ilvl w:val="0"/>
          <w:numId w:val="11"/>
        </w:numPr>
        <w:spacing w:line="360" w:lineRule="exact"/>
        <w:ind w:left="0" w:firstLine="360" w:firstLineChars="200"/>
        <w:jc w:val="both"/>
        <w:rPr>
          <w:rFonts w:eastAsia="宋体"/>
          <w:color w:val="auto"/>
          <w:sz w:val="18"/>
          <w:szCs w:val="18"/>
        </w:rPr>
      </w:pPr>
      <w:r>
        <w:rPr>
          <w:rFonts w:eastAsia="宋体"/>
          <w:color w:val="auto"/>
          <w:sz w:val="18"/>
          <w:szCs w:val="18"/>
        </w:rPr>
        <w:t>刘绍辉，方精云，土壤呼吸的影响因素及全球尺度下温度的影响[J].生态学报，1997,17（5）:469~476.</w:t>
      </w:r>
    </w:p>
    <w:p>
      <w:pPr>
        <w:pStyle w:val="44"/>
        <w:numPr>
          <w:ilvl w:val="0"/>
          <w:numId w:val="11"/>
        </w:numPr>
        <w:spacing w:line="360" w:lineRule="exact"/>
        <w:ind w:left="0" w:firstLine="360" w:firstLineChars="200"/>
        <w:jc w:val="both"/>
        <w:rPr>
          <w:rFonts w:eastAsia="宋体"/>
          <w:color w:val="auto"/>
          <w:sz w:val="18"/>
          <w:szCs w:val="18"/>
        </w:rPr>
      </w:pPr>
      <w:r>
        <w:rPr>
          <w:rFonts w:eastAsia="宋体"/>
          <w:color w:val="auto"/>
          <w:sz w:val="18"/>
          <w:szCs w:val="18"/>
        </w:rPr>
        <w:t>滕应，黄昌勇，骆永明，龙健，姚槐应，李振高.重金属复合污染下土壤微生物群落功能多样性动力学特征[J]. 土壤学报,2004,41(5):735-741</w:t>
      </w:r>
    </w:p>
    <w:p>
      <w:pPr>
        <w:pStyle w:val="45"/>
        <w:widowControl/>
        <w:numPr>
          <w:ilvl w:val="0"/>
          <w:numId w:val="11"/>
        </w:numPr>
        <w:spacing w:line="360" w:lineRule="exact"/>
        <w:ind w:left="0" w:firstLine="360"/>
        <w:rPr>
          <w:sz w:val="18"/>
          <w:szCs w:val="18"/>
        </w:rPr>
      </w:pPr>
      <w:r>
        <w:rPr>
          <w:sz w:val="18"/>
          <w:szCs w:val="18"/>
        </w:rPr>
        <w:t>Merrington G, Oliver I, Smemik R J. The influence of sewage sludge properties on sludge-bome metal available[J]. Advances in Environmental Research,2003,8:21-36.</w:t>
      </w:r>
    </w:p>
    <w:p>
      <w:pPr>
        <w:pStyle w:val="44"/>
        <w:numPr>
          <w:ilvl w:val="0"/>
          <w:numId w:val="11"/>
        </w:numPr>
        <w:spacing w:line="360" w:lineRule="exact"/>
        <w:ind w:left="0" w:firstLine="360" w:firstLineChars="200"/>
        <w:jc w:val="both"/>
        <w:rPr>
          <w:rFonts w:eastAsia="宋体"/>
          <w:color w:val="auto"/>
          <w:sz w:val="18"/>
          <w:szCs w:val="18"/>
        </w:rPr>
      </w:pPr>
      <w:r>
        <w:rPr>
          <w:rFonts w:eastAsia="宋体"/>
          <w:color w:val="auto"/>
          <w:sz w:val="18"/>
          <w:szCs w:val="18"/>
        </w:rPr>
        <w:t>廖敏, 黄昌勇, 谢正苗. pH对镉在土水系统中的迁移和形态的影响[J]. 环境科学学报, 1999, 19(1): 81-86.</w:t>
      </w:r>
    </w:p>
    <w:p>
      <w:pPr>
        <w:pStyle w:val="41"/>
        <w:numPr>
          <w:ilvl w:val="0"/>
          <w:numId w:val="11"/>
        </w:numPr>
        <w:autoSpaceDE w:val="0"/>
        <w:autoSpaceDN w:val="0"/>
        <w:adjustRightInd w:val="0"/>
        <w:spacing w:line="360" w:lineRule="exact"/>
        <w:ind w:left="0" w:firstLine="360"/>
        <w:rPr>
          <w:sz w:val="18"/>
          <w:szCs w:val="18"/>
        </w:rPr>
      </w:pPr>
      <w:r>
        <w:rPr>
          <w:sz w:val="18"/>
          <w:szCs w:val="18"/>
        </w:rPr>
        <w:t>Insam H, Hutchinson TC, Reber HH. Effects of heavy metal stress on the metabolic quotient of the soil microflora. Soil Biology&amp;Biochemistry, 1996, 28(4,5):691～694.</w:t>
      </w:r>
    </w:p>
    <w:p>
      <w:pPr>
        <w:pStyle w:val="41"/>
        <w:numPr>
          <w:ilvl w:val="0"/>
          <w:numId w:val="11"/>
        </w:numPr>
        <w:autoSpaceDE w:val="0"/>
        <w:autoSpaceDN w:val="0"/>
        <w:adjustRightInd w:val="0"/>
        <w:spacing w:line="360" w:lineRule="exact"/>
        <w:ind w:left="0" w:firstLine="360"/>
        <w:rPr>
          <w:sz w:val="18"/>
          <w:szCs w:val="18"/>
        </w:rPr>
      </w:pPr>
      <w:r>
        <w:rPr>
          <w:sz w:val="18"/>
          <w:szCs w:val="18"/>
        </w:rPr>
        <w:t>Beyer L,Sieling Ket al. The impact of a low humus level in arable soils on microbial properties, soil organic matter quality and crop yield. Biology and Fertility of Soils, 1999, 28(2):156～161.</w:t>
      </w:r>
    </w:p>
    <w:p>
      <w:pPr>
        <w:pStyle w:val="44"/>
        <w:numPr>
          <w:ilvl w:val="0"/>
          <w:numId w:val="11"/>
        </w:numPr>
        <w:spacing w:line="360" w:lineRule="exact"/>
        <w:ind w:left="0" w:firstLine="360" w:firstLineChars="200"/>
        <w:jc w:val="both"/>
        <w:rPr>
          <w:rFonts w:eastAsia="宋体"/>
          <w:color w:val="auto"/>
          <w:sz w:val="18"/>
          <w:szCs w:val="18"/>
        </w:rPr>
      </w:pPr>
      <w:r>
        <w:rPr>
          <w:rFonts w:eastAsia="宋体"/>
          <w:color w:val="auto"/>
          <w:sz w:val="18"/>
          <w:szCs w:val="18"/>
        </w:rPr>
        <w:t>G .Bltton. Effects of acid rain on soil microbial activity: Study on farmlan[J]. Journal of Environmental Quality, 1985, No.1: 69-70．</w:t>
      </w:r>
    </w:p>
    <w:p>
      <w:pPr>
        <w:pStyle w:val="41"/>
        <w:numPr>
          <w:ilvl w:val="0"/>
          <w:numId w:val="11"/>
        </w:numPr>
        <w:autoSpaceDE w:val="0"/>
        <w:autoSpaceDN w:val="0"/>
        <w:adjustRightInd w:val="0"/>
        <w:spacing w:line="360" w:lineRule="exact"/>
        <w:ind w:left="0" w:firstLine="360"/>
        <w:rPr>
          <w:sz w:val="18"/>
          <w:szCs w:val="18"/>
        </w:rPr>
      </w:pPr>
      <w:r>
        <w:rPr>
          <w:sz w:val="18"/>
          <w:szCs w:val="18"/>
        </w:rPr>
        <w:t xml:space="preserve">黎宁, 李华兴, 朱凤娇, 刘远金, 邝培锐. 菜园土壤微生物生态特征与土壤理化性质的关系[J].应用生态学报, 2006, 17(2): 285-290. </w:t>
      </w:r>
    </w:p>
    <w:p>
      <w:pPr>
        <w:pStyle w:val="41"/>
        <w:numPr>
          <w:ilvl w:val="0"/>
          <w:numId w:val="11"/>
        </w:numPr>
        <w:autoSpaceDE w:val="0"/>
        <w:autoSpaceDN w:val="0"/>
        <w:adjustRightInd w:val="0"/>
        <w:spacing w:line="360" w:lineRule="exact"/>
        <w:ind w:left="0" w:firstLine="360"/>
        <w:rPr>
          <w:sz w:val="18"/>
          <w:szCs w:val="18"/>
        </w:rPr>
      </w:pPr>
      <w:r>
        <w:rPr>
          <w:sz w:val="18"/>
          <w:szCs w:val="18"/>
        </w:rPr>
        <w:t>齐晓丽, 梁慧超, 冯彦妍. 回归模型构建中变量选择的研究[J]. 河北工业大学学报, 2009(3): 1007-2373.</w:t>
      </w:r>
    </w:p>
    <w:p>
      <w:pPr>
        <w:pStyle w:val="41"/>
        <w:numPr>
          <w:ilvl w:val="0"/>
          <w:numId w:val="11"/>
        </w:numPr>
        <w:autoSpaceDE w:val="0"/>
        <w:autoSpaceDN w:val="0"/>
        <w:adjustRightInd w:val="0"/>
        <w:spacing w:line="360" w:lineRule="exact"/>
        <w:ind w:left="0" w:firstLine="360"/>
        <w:rPr>
          <w:sz w:val="18"/>
          <w:szCs w:val="18"/>
        </w:rPr>
      </w:pPr>
      <w:r>
        <w:rPr>
          <w:sz w:val="18"/>
          <w:szCs w:val="18"/>
        </w:rPr>
        <w:t>孙福杰, 陆晶. 回归分析在白城市地下水环境评价和预测中的应用[J]. 白城师范学院学报, 2008, 22(3): 1-7.</w:t>
      </w:r>
    </w:p>
    <w:p>
      <w:pPr>
        <w:pStyle w:val="41"/>
        <w:numPr>
          <w:ilvl w:val="0"/>
          <w:numId w:val="11"/>
        </w:numPr>
        <w:autoSpaceDE w:val="0"/>
        <w:autoSpaceDN w:val="0"/>
        <w:adjustRightInd w:val="0"/>
        <w:spacing w:line="360" w:lineRule="exact"/>
        <w:ind w:left="0" w:firstLine="360"/>
        <w:rPr>
          <w:sz w:val="18"/>
          <w:szCs w:val="18"/>
        </w:rPr>
      </w:pPr>
      <w:r>
        <w:rPr>
          <w:sz w:val="18"/>
          <w:szCs w:val="18"/>
        </w:rPr>
        <w:t>魏岚, 杨少海, 邹献中. 不同土壤调理剂对酸性土壤的改良效果[J]. 湖南农业大学学报, 2010, 36(1): 77-80.</w:t>
      </w:r>
    </w:p>
    <w:p>
      <w:pPr>
        <w:pStyle w:val="41"/>
        <w:numPr>
          <w:ilvl w:val="0"/>
          <w:numId w:val="11"/>
        </w:numPr>
        <w:autoSpaceDE w:val="0"/>
        <w:autoSpaceDN w:val="0"/>
        <w:adjustRightInd w:val="0"/>
        <w:spacing w:line="360" w:lineRule="exact"/>
        <w:ind w:left="0" w:firstLine="360"/>
        <w:rPr>
          <w:sz w:val="18"/>
          <w:szCs w:val="18"/>
        </w:rPr>
      </w:pPr>
      <w:r>
        <w:rPr>
          <w:sz w:val="18"/>
          <w:szCs w:val="18"/>
        </w:rPr>
        <w:t>戴玉华, 杨莲, 李顺德.调节土壤pH防治白菜根肿病技术探索 [J]. 中国植保导刊, 2004, 24: 20-21.</w:t>
      </w:r>
    </w:p>
    <w:p>
      <w:pPr>
        <w:widowControl/>
        <w:spacing w:beforeLines="100" w:afterLines="100" w:line="320" w:lineRule="exact"/>
        <w:jc w:val="center"/>
        <w:rPr>
          <w:sz w:val="18"/>
          <w:szCs w:val="18"/>
        </w:rPr>
      </w:pPr>
    </w:p>
    <w:p>
      <w:pPr>
        <w:spacing w:line="560" w:lineRule="exact"/>
        <w:ind w:firstLine="560" w:firstLineChars="200"/>
        <w:outlineLvl w:val="0"/>
        <w:rPr>
          <w:rFonts w:eastAsia="仿宋_GB2312"/>
          <w:sz w:val="28"/>
          <w:szCs w:val="28"/>
        </w:rPr>
      </w:pPr>
    </w:p>
    <w:sectPr>
      <w:footerReference r:id="rId16" w:type="default"/>
      <w:footerReference r:id="rId17" w:type="even"/>
      <w:pgSz w:w="11906" w:h="16838"/>
      <w:pgMar w:top="1440" w:right="1588" w:bottom="130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Arial Unicode MS">
    <w:altName w:val="宋体"/>
    <w:panose1 w:val="020B0604020202020204"/>
    <w:charset w:val="86"/>
    <w:family w:val="auto"/>
    <w:pitch w:val="default"/>
    <w:sig w:usb0="F7FFAFFF" w:usb1="E9DFFFFF" w:usb2="0000003F" w:usb3="00000000" w:csb0="003F01FF" w:csb1="00000000"/>
  </w:font>
  <w:font w:name="Helvetica">
    <w:altName w:val="Arial"/>
    <w:panose1 w:val="020B0604020202020204"/>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Segoe UI Semibold">
    <w:panose1 w:val="020B0702040204020203"/>
    <w:charset w:val="00"/>
    <w:family w:val="auto"/>
    <w:pitch w:val="default"/>
    <w:sig w:usb0="E00002FF" w:usb1="4000A47B"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4</w:t>
    </w:r>
    <w:r>
      <w:rPr>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pPr>
  </w:p>
  <w:p>
    <w:pPr>
      <w:pStyle w:val="1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w:t>
    </w:r>
    <w:r>
      <w:rPr>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7</w:t>
    </w:r>
    <w:r>
      <w:rPr>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pPr>
  </w:p>
  <w:p>
    <w:pPr>
      <w:pStyle w:val="1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w:t>
    </w:r>
    <w:r>
      <w:rPr>
        <w:sz w:val="21"/>
        <w:szCs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rPr>
        <w:rFonts w:eastAsia="黑体"/>
        <w:sz w:val="24"/>
        <w:szCs w:val="24"/>
      </w:rPr>
    </w:pPr>
    <w:r>
      <w:rPr>
        <w:rFonts w:eastAsia="黑体"/>
        <w:sz w:val="21"/>
        <w:szCs w:val="21"/>
      </w:rPr>
      <w:fldChar w:fldCharType="begin"/>
    </w:r>
    <w:r>
      <w:rPr>
        <w:rFonts w:eastAsia="黑体"/>
        <w:sz w:val="21"/>
        <w:szCs w:val="21"/>
      </w:rPr>
      <w:instrText xml:space="preserve"> PAGE   \* MERGEFORMAT </w:instrText>
    </w:r>
    <w:r>
      <w:rPr>
        <w:rFonts w:eastAsia="黑体"/>
        <w:sz w:val="21"/>
        <w:szCs w:val="21"/>
      </w:rPr>
      <w:fldChar w:fldCharType="separate"/>
    </w:r>
    <w:r>
      <w:rPr>
        <w:rFonts w:eastAsia="黑体"/>
        <w:sz w:val="21"/>
        <w:szCs w:val="21"/>
        <w:lang w:val="zh-CN"/>
      </w:rPr>
      <w:t>8</w:t>
    </w:r>
    <w:r>
      <w:rPr>
        <w:rFonts w:eastAsia="黑体"/>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14</w:t>
    </w:r>
    <w:r>
      <w:rPr>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jc w:val="center"/>
      <w:rPr>
        <w:rFonts w:hint="eastAsia"/>
      </w:rPr>
    </w:pPr>
  </w:p>
  <w:p>
    <w:pPr>
      <w:pStyle w:val="19"/>
      <w:jc w:val="center"/>
    </w:pPr>
    <w:r>
      <w:rPr>
        <w:rFonts w:hint="eastAsia"/>
      </w:rPr>
      <w:fldChar w:fldCharType="begin"/>
    </w:r>
    <w:r>
      <w:instrText xml:space="preserve"> PAGE   \* MERGEFORMAT </w:instrText>
    </w:r>
    <w:r>
      <w:fldChar w:fldCharType="separate"/>
    </w:r>
    <w:r>
      <w:rPr>
        <w:lang w:val="zh-CN"/>
      </w:rPr>
      <w:t>18</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framePr w:wrap="around" w:vAnchor="text" w:hAnchor="margin" w:xAlign="right" w:y="1"/>
      <w:rPr>
        <w:rStyle w:val="32"/>
      </w:rPr>
    </w:pPr>
    <w:r>
      <w:fldChar w:fldCharType="begin"/>
    </w:r>
    <w:r>
      <w:rPr>
        <w:rStyle w:val="32"/>
      </w:rPr>
      <w:instrText xml:space="preserve">PAGE  </w:instrText>
    </w:r>
    <w:r>
      <w:fldChar w:fldCharType="end"/>
    </w:r>
  </w:p>
  <w:p>
    <w:pPr>
      <w:pStyle w:val="1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footnote w:id="0">
    <w:p>
      <w:pPr>
        <w:pStyle w:val="24"/>
        <w:rPr>
          <w:rFonts w:hint="eastAsia"/>
        </w:rPr>
      </w:pPr>
      <w:r>
        <w:rPr>
          <w:rStyle w:val="38"/>
        </w:rPr>
        <w:sym w:font="Symbol" w:char="0020"/>
      </w:r>
      <w:r>
        <w:rPr>
          <w:rFonts w:hint="eastAsia"/>
          <w:b/>
        </w:rPr>
        <w:t>作者简介</w:t>
      </w:r>
      <w:r>
        <w:rPr>
          <w:rFonts w:hint="eastAsia"/>
        </w:rPr>
        <w:t>：</w:t>
      </w:r>
      <w:r>
        <w:rPr>
          <w:rFonts w:hint="eastAsia"/>
          <w:szCs w:val="20"/>
        </w:rPr>
        <w:t>陈欣瑶（1995</w:t>
      </w:r>
      <w:r>
        <w:rPr>
          <w:szCs w:val="20"/>
        </w:rPr>
        <w:t>-</w:t>
      </w:r>
      <w:r>
        <w:rPr>
          <w:rFonts w:hint="eastAsia"/>
          <w:szCs w:val="20"/>
        </w:rPr>
        <w:t>），女，安徽宿州人，环境科学专业，本科三年级。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0"/>
      <w:pBdr>
        <w:bottom w:val="single" w:color="auto" w:sz="4" w:space="1"/>
      </w:pBdr>
      <w:spacing w:afterLines="100"/>
      <w:rPr>
        <w:rFonts w:ascii="黑体" w:hAnsi="黑体" w:eastAsia="黑体"/>
      </w:rPr>
    </w:pPr>
    <w:r>
      <w:rPr>
        <w:rFonts w:hint="eastAsia" w:ascii="黑体" w:hAnsi="黑体" w:eastAsia="黑体"/>
      </w:rPr>
      <w:t>2015江苏省大学生创新创业优秀成果网上交流展示会”参展项目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0"/>
      <w:spacing w:after="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0"/>
      <w:pBdr>
        <w:bottom w:val="single" w:color="auto" w:sz="4" w:space="1"/>
      </w:pBdr>
      <w:spacing w:afterLines="100"/>
      <w:rPr>
        <w:rFonts w:ascii="黑体" w:hAnsi="黑体" w:eastAsia="黑体"/>
      </w:rPr>
    </w:pPr>
    <w:r>
      <w:rPr>
        <w:rFonts w:hint="eastAsia" w:ascii="黑体" w:hAnsi="黑体" w:eastAsia="黑体"/>
      </w:rPr>
      <w:t>2015江苏省大学生创新创业优秀成果网上交流展示会”参展项目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0"/>
      <w:pBdr>
        <w:bottom w:val="single" w:color="auto" w:sz="4" w:space="1"/>
      </w:pBdr>
      <w:spacing w:afterLines="100"/>
      <w:rPr>
        <w:rFonts w:ascii="黑体" w:hAnsi="黑体" w:eastAsia="黑体"/>
      </w:rPr>
    </w:pPr>
    <w:r>
      <w:rPr>
        <w:rFonts w:hint="eastAsia" w:ascii="黑体" w:hAnsi="黑体" w:eastAsia="黑体"/>
      </w:rPr>
      <w:t>2015江苏省大学生创新创业优秀成果网上交流展示会”参展项目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0"/>
      <w:pBdr>
        <w:bottom w:val="single" w:color="auto" w:sz="4" w:space="1"/>
      </w:pBdr>
      <w:spacing w:afterLines="100"/>
      <w:rPr>
        <w:rFonts w:ascii="黑体" w:hAnsi="黑体" w:eastAsia="黑体"/>
      </w:rPr>
    </w:pPr>
    <w:r>
      <w:rPr>
        <w:rFonts w:hint="eastAsia" w:ascii="黑体" w:hAnsi="黑体" w:eastAsia="黑体"/>
      </w:rPr>
      <w:t>2015江苏省大学生创新创业优秀成果网上交流展示会”参展项目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25266674">
    <w:nsid w:val="0D6D4BF2"/>
    <w:multiLevelType w:val="multilevel"/>
    <w:tmpl w:val="0D6D4BF2"/>
    <w:lvl w:ilvl="0" w:tentative="1">
      <w:start w:val="1"/>
      <w:numFmt w:val="decimal"/>
      <w:pStyle w:val="61"/>
      <w:lvlText w:val="2.1.2.%1 "/>
      <w:lvlJc w:val="left"/>
      <w:pPr>
        <w:ind w:left="840" w:hanging="420"/>
      </w:pPr>
      <w:rPr>
        <w:rFonts w:hint="eastAsia" w:cs="Times New Roman"/>
        <w:b/>
        <w:bCs/>
        <w:i w:val="0"/>
        <w:iCs w:val="0"/>
        <w:sz w:val="28"/>
        <w:szCs w:val="28"/>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abstractNum w:abstractNumId="395709000">
    <w:nsid w:val="17960A48"/>
    <w:multiLevelType w:val="multilevel"/>
    <w:tmpl w:val="17960A48"/>
    <w:lvl w:ilvl="0" w:tentative="1">
      <w:start w:val="1"/>
      <w:numFmt w:val="decimal"/>
      <w:pStyle w:val="59"/>
      <w:lvlText w:val="2.1.%1 "/>
      <w:lvlJc w:val="left"/>
      <w:pPr>
        <w:ind w:left="420" w:hanging="420"/>
      </w:pPr>
      <w:rPr>
        <w:rFonts w:hint="eastAsia" w:cs="Times New Roman"/>
        <w:b/>
        <w:bCs/>
        <w:i w:val="0"/>
        <w:iCs w:val="0"/>
        <w:sz w:val="30"/>
        <w:szCs w:val="30"/>
      </w:rPr>
    </w:lvl>
    <w:lvl w:ilvl="1" w:tentative="1">
      <w:start w:val="1"/>
      <w:numFmt w:val="lowerLetter"/>
      <w:lvlText w:val="%2)"/>
      <w:lvlJc w:val="left"/>
      <w:pPr>
        <w:ind w:left="556" w:hanging="420"/>
      </w:pPr>
      <w:rPr>
        <w:rFonts w:cs="Times New Roman"/>
      </w:rPr>
    </w:lvl>
    <w:lvl w:ilvl="2" w:tentative="1">
      <w:start w:val="1"/>
      <w:numFmt w:val="lowerRoman"/>
      <w:lvlText w:val="%3."/>
      <w:lvlJc w:val="right"/>
      <w:pPr>
        <w:ind w:left="976" w:hanging="420"/>
      </w:pPr>
      <w:rPr>
        <w:rFonts w:cs="Times New Roman"/>
      </w:rPr>
    </w:lvl>
    <w:lvl w:ilvl="3" w:tentative="1">
      <w:start w:val="1"/>
      <w:numFmt w:val="decimal"/>
      <w:lvlText w:val="%4."/>
      <w:lvlJc w:val="left"/>
      <w:pPr>
        <w:ind w:left="1396" w:hanging="420"/>
      </w:pPr>
      <w:rPr>
        <w:rFonts w:cs="Times New Roman"/>
      </w:rPr>
    </w:lvl>
    <w:lvl w:ilvl="4" w:tentative="1">
      <w:start w:val="1"/>
      <w:numFmt w:val="lowerLetter"/>
      <w:lvlText w:val="%5)"/>
      <w:lvlJc w:val="left"/>
      <w:pPr>
        <w:ind w:left="1816" w:hanging="420"/>
      </w:pPr>
      <w:rPr>
        <w:rFonts w:cs="Times New Roman"/>
      </w:rPr>
    </w:lvl>
    <w:lvl w:ilvl="5" w:tentative="1">
      <w:start w:val="1"/>
      <w:numFmt w:val="lowerRoman"/>
      <w:lvlText w:val="%6."/>
      <w:lvlJc w:val="right"/>
      <w:pPr>
        <w:ind w:left="2236" w:hanging="420"/>
      </w:pPr>
      <w:rPr>
        <w:rFonts w:cs="Times New Roman"/>
      </w:rPr>
    </w:lvl>
    <w:lvl w:ilvl="6" w:tentative="1">
      <w:start w:val="1"/>
      <w:numFmt w:val="decimal"/>
      <w:lvlText w:val="%7."/>
      <w:lvlJc w:val="left"/>
      <w:pPr>
        <w:ind w:left="2656" w:hanging="420"/>
      </w:pPr>
      <w:rPr>
        <w:rFonts w:cs="Times New Roman"/>
      </w:rPr>
    </w:lvl>
    <w:lvl w:ilvl="7" w:tentative="1">
      <w:start w:val="1"/>
      <w:numFmt w:val="lowerLetter"/>
      <w:lvlText w:val="%8)"/>
      <w:lvlJc w:val="left"/>
      <w:pPr>
        <w:ind w:left="3076" w:hanging="420"/>
      </w:pPr>
      <w:rPr>
        <w:rFonts w:cs="Times New Roman"/>
      </w:rPr>
    </w:lvl>
    <w:lvl w:ilvl="8" w:tentative="1">
      <w:start w:val="1"/>
      <w:numFmt w:val="lowerRoman"/>
      <w:lvlText w:val="%9."/>
      <w:lvlJc w:val="right"/>
      <w:pPr>
        <w:ind w:left="3496" w:hanging="420"/>
      </w:pPr>
      <w:rPr>
        <w:rFonts w:cs="Times New Roman"/>
      </w:rPr>
    </w:lvl>
  </w:abstractNum>
  <w:abstractNum w:abstractNumId="1545094945">
    <w:nsid w:val="5C184721"/>
    <w:multiLevelType w:val="multilevel"/>
    <w:tmpl w:val="5C184721"/>
    <w:lvl w:ilvl="0" w:tentative="1">
      <w:start w:val="1"/>
      <w:numFmt w:val="chineseCountingThousand"/>
      <w:pStyle w:val="58"/>
      <w:lvlText w:val="(%1) "/>
      <w:lvlJc w:val="left"/>
      <w:pPr>
        <w:ind w:left="420" w:hanging="420"/>
      </w:pPr>
      <w:rPr>
        <w:rFonts w:hint="eastAsia"/>
        <w:b/>
        <w:bCs/>
        <w:i w:val="0"/>
        <w:iCs w:val="0"/>
        <w:sz w:val="24"/>
        <w:szCs w:val="24"/>
      </w:rPr>
    </w:lvl>
    <w:lvl w:ilvl="1" w:tentative="1">
      <w:start w:val="1"/>
      <w:numFmt w:val="lowerLetter"/>
      <w:lvlText w:val="%2)"/>
      <w:lvlJc w:val="left"/>
      <w:pPr>
        <w:ind w:left="556" w:hanging="420"/>
      </w:pPr>
      <w:rPr>
        <w:rFonts w:cs="Times New Roman"/>
      </w:rPr>
    </w:lvl>
    <w:lvl w:ilvl="2" w:tentative="1">
      <w:start w:val="1"/>
      <w:numFmt w:val="lowerRoman"/>
      <w:lvlText w:val="%3."/>
      <w:lvlJc w:val="right"/>
      <w:pPr>
        <w:ind w:left="976" w:hanging="420"/>
      </w:pPr>
      <w:rPr>
        <w:rFonts w:cs="Times New Roman"/>
      </w:rPr>
    </w:lvl>
    <w:lvl w:ilvl="3" w:tentative="1">
      <w:start w:val="1"/>
      <w:numFmt w:val="decimal"/>
      <w:lvlText w:val="%4."/>
      <w:lvlJc w:val="left"/>
      <w:pPr>
        <w:ind w:left="1396" w:hanging="420"/>
      </w:pPr>
      <w:rPr>
        <w:rFonts w:cs="Times New Roman"/>
      </w:rPr>
    </w:lvl>
    <w:lvl w:ilvl="4" w:tentative="1">
      <w:start w:val="1"/>
      <w:numFmt w:val="lowerLetter"/>
      <w:lvlText w:val="%5)"/>
      <w:lvlJc w:val="left"/>
      <w:pPr>
        <w:ind w:left="1816" w:hanging="420"/>
      </w:pPr>
      <w:rPr>
        <w:rFonts w:cs="Times New Roman"/>
      </w:rPr>
    </w:lvl>
    <w:lvl w:ilvl="5" w:tentative="1">
      <w:start w:val="1"/>
      <w:numFmt w:val="lowerRoman"/>
      <w:lvlText w:val="%6."/>
      <w:lvlJc w:val="right"/>
      <w:pPr>
        <w:ind w:left="2236" w:hanging="420"/>
      </w:pPr>
      <w:rPr>
        <w:rFonts w:cs="Times New Roman"/>
      </w:rPr>
    </w:lvl>
    <w:lvl w:ilvl="6" w:tentative="1">
      <w:start w:val="1"/>
      <w:numFmt w:val="decimal"/>
      <w:lvlText w:val="%7."/>
      <w:lvlJc w:val="left"/>
      <w:pPr>
        <w:ind w:left="2656" w:hanging="420"/>
      </w:pPr>
      <w:rPr>
        <w:rFonts w:cs="Times New Roman"/>
      </w:rPr>
    </w:lvl>
    <w:lvl w:ilvl="7" w:tentative="1">
      <w:start w:val="1"/>
      <w:numFmt w:val="lowerLetter"/>
      <w:lvlText w:val="%8)"/>
      <w:lvlJc w:val="left"/>
      <w:pPr>
        <w:ind w:left="3076" w:hanging="420"/>
      </w:pPr>
      <w:rPr>
        <w:rFonts w:cs="Times New Roman"/>
      </w:rPr>
    </w:lvl>
    <w:lvl w:ilvl="8" w:tentative="1">
      <w:start w:val="1"/>
      <w:numFmt w:val="lowerRoman"/>
      <w:lvlText w:val="%9."/>
      <w:lvlJc w:val="right"/>
      <w:pPr>
        <w:ind w:left="3496" w:hanging="420"/>
      </w:pPr>
      <w:rPr>
        <w:rFonts w:cs="Times New Roman"/>
      </w:rPr>
    </w:lvl>
  </w:abstractNum>
  <w:abstractNum w:abstractNumId="1708482573">
    <w:nsid w:val="65D5600D"/>
    <w:multiLevelType w:val="multilevel"/>
    <w:tmpl w:val="65D5600D"/>
    <w:lvl w:ilvl="0" w:tentative="1">
      <w:start w:val="1"/>
      <w:numFmt w:val="decimal"/>
      <w:pStyle w:val="60"/>
      <w:lvlText w:val="(%1)"/>
      <w:lvlJc w:val="left"/>
      <w:pPr>
        <w:ind w:left="660" w:hanging="420"/>
      </w:pPr>
      <w:rPr>
        <w:rFonts w:hint="default" w:cs="Times New Roman"/>
        <w:b w:val="0"/>
        <w:bCs/>
        <w:i w:val="0"/>
        <w:iCs w:val="0"/>
        <w:sz w:val="21"/>
        <w:szCs w:val="28"/>
      </w:rPr>
    </w:lvl>
    <w:lvl w:ilvl="1" w:tentative="1">
      <w:start w:val="1"/>
      <w:numFmt w:val="lowerLetter"/>
      <w:lvlText w:val="%2)"/>
      <w:lvlJc w:val="left"/>
      <w:pPr>
        <w:ind w:left="796" w:hanging="420"/>
      </w:pPr>
      <w:rPr>
        <w:rFonts w:cs="Times New Roman"/>
      </w:rPr>
    </w:lvl>
    <w:lvl w:ilvl="2" w:tentative="1">
      <w:start w:val="1"/>
      <w:numFmt w:val="lowerRoman"/>
      <w:lvlText w:val="%3."/>
      <w:lvlJc w:val="right"/>
      <w:pPr>
        <w:ind w:left="1216" w:hanging="420"/>
      </w:pPr>
      <w:rPr>
        <w:rFonts w:cs="Times New Roman"/>
      </w:rPr>
    </w:lvl>
    <w:lvl w:ilvl="3" w:tentative="1">
      <w:start w:val="1"/>
      <w:numFmt w:val="decimal"/>
      <w:lvlText w:val="%4."/>
      <w:lvlJc w:val="left"/>
      <w:pPr>
        <w:ind w:left="1636" w:hanging="420"/>
      </w:pPr>
      <w:rPr>
        <w:rFonts w:cs="Times New Roman"/>
      </w:rPr>
    </w:lvl>
    <w:lvl w:ilvl="4" w:tentative="1">
      <w:start w:val="1"/>
      <w:numFmt w:val="lowerLetter"/>
      <w:lvlText w:val="%5)"/>
      <w:lvlJc w:val="left"/>
      <w:pPr>
        <w:ind w:left="2056" w:hanging="420"/>
      </w:pPr>
      <w:rPr>
        <w:rFonts w:cs="Times New Roman"/>
      </w:rPr>
    </w:lvl>
    <w:lvl w:ilvl="5" w:tentative="1">
      <w:start w:val="1"/>
      <w:numFmt w:val="lowerRoman"/>
      <w:lvlText w:val="%6."/>
      <w:lvlJc w:val="right"/>
      <w:pPr>
        <w:ind w:left="2476" w:hanging="420"/>
      </w:pPr>
      <w:rPr>
        <w:rFonts w:cs="Times New Roman"/>
      </w:rPr>
    </w:lvl>
    <w:lvl w:ilvl="6" w:tentative="1">
      <w:start w:val="1"/>
      <w:numFmt w:val="decimal"/>
      <w:lvlText w:val="%7."/>
      <w:lvlJc w:val="left"/>
      <w:pPr>
        <w:ind w:left="2896" w:hanging="420"/>
      </w:pPr>
      <w:rPr>
        <w:rFonts w:cs="Times New Roman"/>
      </w:rPr>
    </w:lvl>
    <w:lvl w:ilvl="7" w:tentative="1">
      <w:start w:val="1"/>
      <w:numFmt w:val="lowerLetter"/>
      <w:lvlText w:val="%8)"/>
      <w:lvlJc w:val="left"/>
      <w:pPr>
        <w:ind w:left="3316" w:hanging="420"/>
      </w:pPr>
      <w:rPr>
        <w:rFonts w:cs="Times New Roman"/>
      </w:rPr>
    </w:lvl>
    <w:lvl w:ilvl="8" w:tentative="1">
      <w:start w:val="1"/>
      <w:numFmt w:val="lowerRoman"/>
      <w:lvlText w:val="%9."/>
      <w:lvlJc w:val="right"/>
      <w:pPr>
        <w:ind w:left="3736" w:hanging="420"/>
      </w:pPr>
      <w:rPr>
        <w:rFonts w:cs="Times New Roman"/>
      </w:rPr>
    </w:lvl>
  </w:abstractNum>
  <w:abstractNum w:abstractNumId="349379574">
    <w:nsid w:val="14D31BF6"/>
    <w:multiLevelType w:val="multilevel"/>
    <w:tmpl w:val="14D31BF6"/>
    <w:lvl w:ilvl="0" w:tentative="1">
      <w:start w:val="1"/>
      <w:numFmt w:val="decimal"/>
      <w:lvlText w:val="%1 "/>
      <w:lvlJc w:val="left"/>
      <w:pPr>
        <w:ind w:left="420" w:hanging="420"/>
      </w:pPr>
      <w:rPr>
        <w:rFonts w:hint="eastAsia" w:ascii="仿宋_GB2312" w:hAnsi="仿宋" w:eastAsia="仿宋_GB2312" w:cs="Times New Roman"/>
        <w:b w:val="0"/>
        <w:bCs/>
        <w:i w:val="0"/>
        <w:iCs w:val="0"/>
        <w:sz w:val="24"/>
        <w:szCs w:val="24"/>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749763345">
    <w:nsid w:val="684B4511"/>
    <w:multiLevelType w:val="multilevel"/>
    <w:tmpl w:val="684B4511"/>
    <w:lvl w:ilvl="0" w:tentative="1">
      <w:start w:val="1"/>
      <w:numFmt w:val="chineseCountingThousand"/>
      <w:lvlText w:val="(%1) "/>
      <w:lvlJc w:val="left"/>
      <w:pPr>
        <w:ind w:left="420" w:hanging="420"/>
      </w:pPr>
      <w:rPr>
        <w:rFonts w:hint="eastAsia"/>
        <w:sz w:val="24"/>
        <w:szCs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02828107">
    <w:nsid w:val="657F184B"/>
    <w:multiLevelType w:val="multilevel"/>
    <w:tmpl w:val="657F184B"/>
    <w:lvl w:ilvl="0" w:tentative="1">
      <w:start w:val="1"/>
      <w:numFmt w:val="chineseCountingThousand"/>
      <w:lvlText w:val="%1 "/>
      <w:lvlJc w:val="left"/>
      <w:pPr>
        <w:ind w:left="420" w:hanging="420"/>
      </w:pPr>
      <w:rPr>
        <w:rFonts w:hint="eastAsia" w:ascii="黑体" w:hAnsi="黑体" w:eastAsia="黑体"/>
        <w:b w:val="0"/>
        <w:i w:val="0"/>
        <w:sz w:val="28"/>
        <w:szCs w:val="28"/>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7244237">
    <w:nsid w:val="03697A4D"/>
    <w:multiLevelType w:val="multilevel"/>
    <w:tmpl w:val="03697A4D"/>
    <w:lvl w:ilvl="0" w:tentative="1">
      <w:start w:val="1"/>
      <w:numFmt w:val="decimal"/>
      <w:lvlText w:val="[%1]."/>
      <w:lvlJc w:val="left"/>
      <w:pPr>
        <w:ind w:left="420" w:hanging="420"/>
      </w:pPr>
      <w:rPr>
        <w:rFonts w:hint="default" w:ascii="Times New Roman" w:hAnsi="Times New Roman" w:cs="Times New Roman"/>
        <w:sz w:val="21"/>
        <w:szCs w:val="2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26118638">
    <w:nsid w:val="6CD85BEE"/>
    <w:multiLevelType w:val="multilevel"/>
    <w:tmpl w:val="6CD85BEE"/>
    <w:lvl w:ilvl="0" w:tentative="1">
      <w:start w:val="1"/>
      <w:numFmt w:val="decimal"/>
      <w:lvlText w:val="%1 "/>
      <w:lvlJc w:val="left"/>
      <w:pPr>
        <w:ind w:left="420" w:hanging="420"/>
      </w:pPr>
      <w:rPr>
        <w:rFonts w:hint="default" w:ascii="Times New Roman" w:hAnsi="Times New Roman" w:eastAsia="楷体" w:cs="Times New Roman"/>
        <w:b/>
        <w:bCs/>
        <w:i w:val="0"/>
        <w:iCs w:val="0"/>
        <w:sz w:val="21"/>
        <w:szCs w:val="28"/>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731952582">
    <w:nsid w:val="673B7FC6"/>
    <w:multiLevelType w:val="multilevel"/>
    <w:tmpl w:val="673B7FC6"/>
    <w:lvl w:ilvl="0" w:tentative="1">
      <w:start w:val="1"/>
      <w:numFmt w:val="decimal"/>
      <w:lvlText w:val="(%1)"/>
      <w:lvlJc w:val="left"/>
      <w:pPr>
        <w:ind w:left="420" w:hanging="420"/>
      </w:pPr>
      <w:rPr>
        <w:rFonts w:hint="default" w:cs="Times New Roman"/>
        <w:b w:val="0"/>
        <w:bCs/>
        <w:i w:val="0"/>
        <w:iCs w:val="0"/>
        <w:sz w:val="21"/>
        <w:szCs w:val="28"/>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545094945"/>
  </w:num>
  <w:num w:numId="2">
    <w:abstractNumId w:val="395709000"/>
  </w:num>
  <w:num w:numId="3">
    <w:abstractNumId w:val="1708482573"/>
  </w:num>
  <w:num w:numId="4">
    <w:abstractNumId w:val="225266674"/>
  </w:num>
  <w:num w:numId="5">
    <w:abstractNumId w:val="1702828107"/>
  </w:num>
  <w:num w:numId="6">
    <w:abstractNumId w:val="1749763345"/>
  </w:num>
  <w:num w:numId="7">
    <w:abstractNumId w:val="349379574"/>
  </w:num>
  <w:num w:numId="8">
    <w:abstractNumId w:val="1708482573"/>
    <w:lvlOverride w:ilvl="0">
      <w:startOverride w:val="1"/>
    </w:lvlOverride>
  </w:num>
  <w:num w:numId="9">
    <w:abstractNumId w:val="1731952582"/>
  </w:num>
  <w:num w:numId="10">
    <w:abstractNumId w:val="1826118638"/>
  </w:num>
  <w:num w:numId="11">
    <w:abstractNumId w:val="572442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342D4"/>
    <w:rsid w:val="00040025"/>
    <w:rsid w:val="00055A00"/>
    <w:rsid w:val="000937D4"/>
    <w:rsid w:val="000A548B"/>
    <w:rsid w:val="000A6F52"/>
    <w:rsid w:val="000C4273"/>
    <w:rsid w:val="000C5E41"/>
    <w:rsid w:val="000C694E"/>
    <w:rsid w:val="000F10B5"/>
    <w:rsid w:val="000F1C59"/>
    <w:rsid w:val="00102612"/>
    <w:rsid w:val="001037C1"/>
    <w:rsid w:val="001100C8"/>
    <w:rsid w:val="00110CB3"/>
    <w:rsid w:val="00112B8C"/>
    <w:rsid w:val="001264E8"/>
    <w:rsid w:val="00131773"/>
    <w:rsid w:val="001319DD"/>
    <w:rsid w:val="0013474A"/>
    <w:rsid w:val="00135367"/>
    <w:rsid w:val="00172A27"/>
    <w:rsid w:val="001823A6"/>
    <w:rsid w:val="001A2AAA"/>
    <w:rsid w:val="001C67B5"/>
    <w:rsid w:val="001D1AB7"/>
    <w:rsid w:val="001D2105"/>
    <w:rsid w:val="001F20A1"/>
    <w:rsid w:val="00201C95"/>
    <w:rsid w:val="00214900"/>
    <w:rsid w:val="002267E4"/>
    <w:rsid w:val="00227C27"/>
    <w:rsid w:val="002363A0"/>
    <w:rsid w:val="0024508F"/>
    <w:rsid w:val="00254203"/>
    <w:rsid w:val="0026048A"/>
    <w:rsid w:val="0027034C"/>
    <w:rsid w:val="00292E84"/>
    <w:rsid w:val="0029462E"/>
    <w:rsid w:val="002A008A"/>
    <w:rsid w:val="002A34C1"/>
    <w:rsid w:val="002B1497"/>
    <w:rsid w:val="002C251F"/>
    <w:rsid w:val="002C392D"/>
    <w:rsid w:val="002C5BC8"/>
    <w:rsid w:val="002D735A"/>
    <w:rsid w:val="002E1193"/>
    <w:rsid w:val="002E3FCD"/>
    <w:rsid w:val="00317BD8"/>
    <w:rsid w:val="003464AB"/>
    <w:rsid w:val="00367F3B"/>
    <w:rsid w:val="00373999"/>
    <w:rsid w:val="003B0872"/>
    <w:rsid w:val="003B7860"/>
    <w:rsid w:val="003E3FD9"/>
    <w:rsid w:val="00401E87"/>
    <w:rsid w:val="00402DD9"/>
    <w:rsid w:val="0041785C"/>
    <w:rsid w:val="004204BB"/>
    <w:rsid w:val="00425350"/>
    <w:rsid w:val="0045456F"/>
    <w:rsid w:val="00455334"/>
    <w:rsid w:val="00476689"/>
    <w:rsid w:val="0048000B"/>
    <w:rsid w:val="00496F3A"/>
    <w:rsid w:val="004D12FB"/>
    <w:rsid w:val="004F6C84"/>
    <w:rsid w:val="0050574B"/>
    <w:rsid w:val="00514168"/>
    <w:rsid w:val="00522532"/>
    <w:rsid w:val="0052655B"/>
    <w:rsid w:val="00560516"/>
    <w:rsid w:val="005824D5"/>
    <w:rsid w:val="005939A5"/>
    <w:rsid w:val="005C737A"/>
    <w:rsid w:val="005D4F49"/>
    <w:rsid w:val="005E4578"/>
    <w:rsid w:val="00617967"/>
    <w:rsid w:val="0063017F"/>
    <w:rsid w:val="00641033"/>
    <w:rsid w:val="00647406"/>
    <w:rsid w:val="006707E7"/>
    <w:rsid w:val="00692C2D"/>
    <w:rsid w:val="006B096A"/>
    <w:rsid w:val="006B3F89"/>
    <w:rsid w:val="006B5D49"/>
    <w:rsid w:val="006C3190"/>
    <w:rsid w:val="006C439C"/>
    <w:rsid w:val="006D798A"/>
    <w:rsid w:val="006E613F"/>
    <w:rsid w:val="006E72DA"/>
    <w:rsid w:val="0072751B"/>
    <w:rsid w:val="00736313"/>
    <w:rsid w:val="00752D03"/>
    <w:rsid w:val="007A25F6"/>
    <w:rsid w:val="007B2E3D"/>
    <w:rsid w:val="007C7218"/>
    <w:rsid w:val="00807D64"/>
    <w:rsid w:val="00816930"/>
    <w:rsid w:val="00823E10"/>
    <w:rsid w:val="00827DEF"/>
    <w:rsid w:val="00851F28"/>
    <w:rsid w:val="008B2DF1"/>
    <w:rsid w:val="008B5DAE"/>
    <w:rsid w:val="008D2681"/>
    <w:rsid w:val="008D6E2C"/>
    <w:rsid w:val="00920089"/>
    <w:rsid w:val="00927D24"/>
    <w:rsid w:val="0096149A"/>
    <w:rsid w:val="00967FF2"/>
    <w:rsid w:val="009742E2"/>
    <w:rsid w:val="00987C28"/>
    <w:rsid w:val="00996505"/>
    <w:rsid w:val="009C660F"/>
    <w:rsid w:val="009C6EF4"/>
    <w:rsid w:val="009D210C"/>
    <w:rsid w:val="009E56FF"/>
    <w:rsid w:val="009F6077"/>
    <w:rsid w:val="00A17A96"/>
    <w:rsid w:val="00A3665B"/>
    <w:rsid w:val="00A65017"/>
    <w:rsid w:val="00A65C59"/>
    <w:rsid w:val="00A82F82"/>
    <w:rsid w:val="00A8504C"/>
    <w:rsid w:val="00A87CD2"/>
    <w:rsid w:val="00A9469A"/>
    <w:rsid w:val="00A95F75"/>
    <w:rsid w:val="00A96834"/>
    <w:rsid w:val="00A97AE0"/>
    <w:rsid w:val="00AA45E9"/>
    <w:rsid w:val="00AA4B9F"/>
    <w:rsid w:val="00AA6198"/>
    <w:rsid w:val="00AC2376"/>
    <w:rsid w:val="00AE09A4"/>
    <w:rsid w:val="00B1550C"/>
    <w:rsid w:val="00B433A8"/>
    <w:rsid w:val="00B44298"/>
    <w:rsid w:val="00B45412"/>
    <w:rsid w:val="00B53D57"/>
    <w:rsid w:val="00B549BB"/>
    <w:rsid w:val="00B7257E"/>
    <w:rsid w:val="00B7337C"/>
    <w:rsid w:val="00B87CC8"/>
    <w:rsid w:val="00BB07F0"/>
    <w:rsid w:val="00BB2291"/>
    <w:rsid w:val="00BC3277"/>
    <w:rsid w:val="00BD5C53"/>
    <w:rsid w:val="00BE2429"/>
    <w:rsid w:val="00C043DF"/>
    <w:rsid w:val="00C106FB"/>
    <w:rsid w:val="00C1136A"/>
    <w:rsid w:val="00C40000"/>
    <w:rsid w:val="00C4177D"/>
    <w:rsid w:val="00C657C0"/>
    <w:rsid w:val="00C83918"/>
    <w:rsid w:val="00CA191D"/>
    <w:rsid w:val="00CC01EB"/>
    <w:rsid w:val="00CC1A2A"/>
    <w:rsid w:val="00CC1BCA"/>
    <w:rsid w:val="00CE2A51"/>
    <w:rsid w:val="00CE4B36"/>
    <w:rsid w:val="00CF119D"/>
    <w:rsid w:val="00CF1C08"/>
    <w:rsid w:val="00D0152D"/>
    <w:rsid w:val="00D02BD6"/>
    <w:rsid w:val="00D0623B"/>
    <w:rsid w:val="00D25CFC"/>
    <w:rsid w:val="00D44655"/>
    <w:rsid w:val="00D50686"/>
    <w:rsid w:val="00D60F16"/>
    <w:rsid w:val="00D73BAA"/>
    <w:rsid w:val="00D80503"/>
    <w:rsid w:val="00DB5010"/>
    <w:rsid w:val="00DC3CEF"/>
    <w:rsid w:val="00DC5753"/>
    <w:rsid w:val="00DD397F"/>
    <w:rsid w:val="00DE1425"/>
    <w:rsid w:val="00DF4B4D"/>
    <w:rsid w:val="00E129DB"/>
    <w:rsid w:val="00E209BD"/>
    <w:rsid w:val="00E22CF7"/>
    <w:rsid w:val="00E44EA5"/>
    <w:rsid w:val="00E44F4D"/>
    <w:rsid w:val="00E77D0E"/>
    <w:rsid w:val="00E81BF6"/>
    <w:rsid w:val="00E836DC"/>
    <w:rsid w:val="00E9152B"/>
    <w:rsid w:val="00EA7E6A"/>
    <w:rsid w:val="00EE1DA7"/>
    <w:rsid w:val="00F13C4C"/>
    <w:rsid w:val="00F364C1"/>
    <w:rsid w:val="00F56372"/>
    <w:rsid w:val="00F61D74"/>
    <w:rsid w:val="00FA5D28"/>
    <w:rsid w:val="00FB12D0"/>
    <w:rsid w:val="00FC3F73"/>
    <w:rsid w:val="00FC4A76"/>
    <w:rsid w:val="00FE0F92"/>
    <w:rsid w:val="00FF4B10"/>
    <w:rsid w:val="396225A0"/>
    <w:rsid w:val="408F51E6"/>
    <w:rsid w:val="6A2F6214"/>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9"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uiPriority="39" w:semiHidden="0" w:name="toc 2"/>
    <w:lsdException w:uiPriority="39" w:semiHidden="0" w:name="toc 3"/>
    <w:lsdException w:unhideWhenUsed="0" w:uiPriority="3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iPriority="99"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99" w:semiHidden="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65"/>
    <w:qFormat/>
    <w:uiPriority w:val="99"/>
    <w:pPr>
      <w:widowControl/>
      <w:jc w:val="left"/>
      <w:outlineLvl w:val="0"/>
    </w:pPr>
    <w:rPr>
      <w:rFonts w:ascii="宋体" w:hAnsi="宋体" w:cs="宋体"/>
      <w:b/>
      <w:bCs/>
      <w:kern w:val="36"/>
      <w:sz w:val="31"/>
      <w:szCs w:val="31"/>
    </w:rPr>
  </w:style>
  <w:style w:type="paragraph" w:styleId="3">
    <w:name w:val="heading 2"/>
    <w:basedOn w:val="1"/>
    <w:next w:val="1"/>
    <w:link w:val="66"/>
    <w:qFormat/>
    <w:uiPriority w:val="99"/>
    <w:pPr>
      <w:keepNext/>
      <w:keepLines/>
      <w:widowControl/>
      <w:spacing w:before="260" w:after="260" w:line="416" w:lineRule="auto"/>
      <w:jc w:val="left"/>
      <w:outlineLvl w:val="1"/>
    </w:pPr>
    <w:rPr>
      <w:rFonts w:ascii="Cambria" w:hAnsi="Cambria"/>
      <w:b/>
      <w:bCs/>
      <w:kern w:val="0"/>
      <w:sz w:val="32"/>
      <w:szCs w:val="32"/>
    </w:rPr>
  </w:style>
  <w:style w:type="paragraph" w:styleId="4">
    <w:name w:val="heading 3"/>
    <w:basedOn w:val="1"/>
    <w:next w:val="1"/>
    <w:link w:val="67"/>
    <w:unhideWhenUsed/>
    <w:qFormat/>
    <w:uiPriority w:val="99"/>
    <w:pPr>
      <w:keepNext/>
      <w:keepLines/>
      <w:spacing w:before="260" w:after="260" w:line="416" w:lineRule="auto"/>
      <w:outlineLvl w:val="2"/>
    </w:pPr>
    <w:rPr>
      <w:b/>
      <w:bCs/>
      <w:sz w:val="32"/>
      <w:szCs w:val="32"/>
    </w:rPr>
  </w:style>
  <w:style w:type="paragraph" w:styleId="5">
    <w:name w:val="heading 4"/>
    <w:basedOn w:val="1"/>
    <w:next w:val="1"/>
    <w:link w:val="68"/>
    <w:qFormat/>
    <w:uiPriority w:val="99"/>
    <w:pPr>
      <w:keepNext/>
      <w:keepLines/>
      <w:widowControl/>
      <w:spacing w:before="280" w:after="290" w:line="376" w:lineRule="auto"/>
      <w:jc w:val="left"/>
      <w:outlineLvl w:val="3"/>
    </w:pPr>
    <w:rPr>
      <w:rFonts w:ascii="Cambria" w:hAnsi="Cambria"/>
      <w:b/>
      <w:bCs/>
      <w:kern w:val="0"/>
      <w:sz w:val="28"/>
      <w:szCs w:val="28"/>
    </w:rPr>
  </w:style>
  <w:style w:type="paragraph" w:styleId="6">
    <w:name w:val="heading 5"/>
    <w:basedOn w:val="1"/>
    <w:next w:val="1"/>
    <w:link w:val="69"/>
    <w:qFormat/>
    <w:uiPriority w:val="99"/>
    <w:pPr>
      <w:keepNext/>
      <w:keepLines/>
      <w:widowControl/>
      <w:spacing w:before="280" w:after="290" w:line="376" w:lineRule="auto"/>
      <w:jc w:val="left"/>
      <w:outlineLvl w:val="4"/>
    </w:pPr>
    <w:rPr>
      <w:rFonts w:ascii="Calibri" w:hAnsi="Calibri"/>
      <w:b/>
      <w:bCs/>
      <w:kern w:val="0"/>
      <w:sz w:val="28"/>
      <w:szCs w:val="28"/>
    </w:rPr>
  </w:style>
  <w:style w:type="character" w:default="1" w:styleId="30">
    <w:name w:val="Default Paragraph Font"/>
    <w:unhideWhenUsed/>
    <w:uiPriority w:val="1"/>
  </w:style>
  <w:style w:type="table" w:default="1" w:styleId="39">
    <w:name w:val="Normal Table"/>
    <w:unhideWhenUsed/>
    <w:qFormat/>
    <w:uiPriority w:val="99"/>
    <w:tblPr>
      <w:tblStyle w:val="39"/>
      <w:tblLayout w:type="fixed"/>
      <w:tblCellMar>
        <w:top w:w="0" w:type="dxa"/>
        <w:left w:w="108" w:type="dxa"/>
        <w:bottom w:w="0" w:type="dxa"/>
        <w:right w:w="108" w:type="dxa"/>
      </w:tblCellMar>
    </w:tblPr>
    <w:tcPr>
      <w:textDirection w:val="lrTb"/>
    </w:tcPr>
  </w:style>
  <w:style w:type="paragraph" w:styleId="7">
    <w:name w:val="annotation subject"/>
    <w:basedOn w:val="8"/>
    <w:next w:val="8"/>
    <w:link w:val="71"/>
    <w:uiPriority w:val="99"/>
    <w:rPr>
      <w:b/>
      <w:bCs/>
    </w:rPr>
  </w:style>
  <w:style w:type="paragraph" w:styleId="8">
    <w:name w:val="annotation text"/>
    <w:basedOn w:val="1"/>
    <w:link w:val="72"/>
    <w:uiPriority w:val="99"/>
    <w:pPr>
      <w:jc w:val="left"/>
    </w:pPr>
  </w:style>
  <w:style w:type="paragraph" w:styleId="9">
    <w:name w:val="toc 7"/>
    <w:basedOn w:val="1"/>
    <w:next w:val="1"/>
    <w:uiPriority w:val="99"/>
    <w:pPr>
      <w:widowControl/>
      <w:ind w:left="1440"/>
      <w:jc w:val="left"/>
    </w:pPr>
    <w:rPr>
      <w:kern w:val="0"/>
      <w:sz w:val="18"/>
      <w:szCs w:val="18"/>
    </w:rPr>
  </w:style>
  <w:style w:type="paragraph" w:styleId="10">
    <w:name w:val="Document Map"/>
    <w:basedOn w:val="1"/>
    <w:link w:val="74"/>
    <w:unhideWhenUsed/>
    <w:uiPriority w:val="99"/>
    <w:rPr>
      <w:rFonts w:ascii="宋体" w:hAnsi="Calibri"/>
      <w:sz w:val="18"/>
      <w:szCs w:val="18"/>
    </w:rPr>
  </w:style>
  <w:style w:type="paragraph" w:styleId="11">
    <w:name w:val="Body Text"/>
    <w:basedOn w:val="1"/>
    <w:link w:val="64"/>
    <w:uiPriority w:val="0"/>
    <w:pPr>
      <w:jc w:val="center"/>
    </w:pPr>
    <w:rPr>
      <w:b/>
      <w:bCs/>
      <w:sz w:val="32"/>
    </w:rPr>
  </w:style>
  <w:style w:type="paragraph" w:styleId="12">
    <w:name w:val="Body Text Indent"/>
    <w:basedOn w:val="1"/>
    <w:uiPriority w:val="0"/>
    <w:pPr>
      <w:spacing w:after="120"/>
      <w:ind w:left="420" w:leftChars="200"/>
    </w:pPr>
  </w:style>
  <w:style w:type="paragraph" w:styleId="13">
    <w:name w:val="toc 5"/>
    <w:basedOn w:val="1"/>
    <w:next w:val="1"/>
    <w:uiPriority w:val="99"/>
    <w:pPr>
      <w:widowControl/>
      <w:ind w:left="960"/>
      <w:jc w:val="left"/>
    </w:pPr>
    <w:rPr>
      <w:kern w:val="0"/>
      <w:sz w:val="18"/>
      <w:szCs w:val="18"/>
    </w:rPr>
  </w:style>
  <w:style w:type="paragraph" w:styleId="14">
    <w:name w:val="toc 3"/>
    <w:basedOn w:val="1"/>
    <w:next w:val="1"/>
    <w:unhideWhenUsed/>
    <w:uiPriority w:val="39"/>
    <w:pPr>
      <w:tabs>
        <w:tab w:val="right" w:leader="dot" w:pos="9174"/>
      </w:tabs>
      <w:ind w:left="840" w:leftChars="400"/>
    </w:pPr>
    <w:rPr>
      <w:szCs w:val="20"/>
    </w:rPr>
  </w:style>
  <w:style w:type="paragraph" w:styleId="15">
    <w:name w:val="toc 8"/>
    <w:basedOn w:val="1"/>
    <w:next w:val="1"/>
    <w:uiPriority w:val="99"/>
    <w:pPr>
      <w:widowControl/>
      <w:ind w:left="1680"/>
      <w:jc w:val="left"/>
    </w:pPr>
    <w:rPr>
      <w:kern w:val="0"/>
      <w:sz w:val="18"/>
      <w:szCs w:val="18"/>
    </w:rPr>
  </w:style>
  <w:style w:type="paragraph" w:styleId="16">
    <w:name w:val="Date"/>
    <w:basedOn w:val="1"/>
    <w:next w:val="1"/>
    <w:link w:val="84"/>
    <w:uiPriority w:val="99"/>
    <w:pPr>
      <w:widowControl/>
      <w:ind w:left="100" w:leftChars="2500"/>
      <w:jc w:val="left"/>
    </w:pPr>
    <w:rPr>
      <w:rFonts w:ascii="宋体" w:hAnsi="Calibri"/>
      <w:kern w:val="0"/>
      <w:sz w:val="24"/>
    </w:rPr>
  </w:style>
  <w:style w:type="paragraph" w:styleId="17">
    <w:name w:val="Body Text Indent 2"/>
    <w:basedOn w:val="1"/>
    <w:uiPriority w:val="0"/>
    <w:pPr>
      <w:spacing w:after="120" w:line="480" w:lineRule="auto"/>
      <w:ind w:left="420" w:leftChars="200"/>
    </w:pPr>
  </w:style>
  <w:style w:type="paragraph" w:styleId="18">
    <w:name w:val="Balloon Text"/>
    <w:basedOn w:val="1"/>
    <w:link w:val="77"/>
    <w:uiPriority w:val="99"/>
    <w:rPr>
      <w:sz w:val="18"/>
      <w:szCs w:val="18"/>
    </w:rPr>
  </w:style>
  <w:style w:type="paragraph" w:styleId="19">
    <w:name w:val="footer"/>
    <w:basedOn w:val="1"/>
    <w:link w:val="62"/>
    <w:uiPriority w:val="99"/>
    <w:pPr>
      <w:tabs>
        <w:tab w:val="center" w:pos="4153"/>
        <w:tab w:val="right" w:pos="8306"/>
      </w:tabs>
      <w:snapToGrid w:val="0"/>
      <w:jc w:val="left"/>
    </w:pPr>
    <w:rPr>
      <w:sz w:val="18"/>
      <w:szCs w:val="18"/>
    </w:rPr>
  </w:style>
  <w:style w:type="paragraph" w:styleId="20">
    <w:name w:val="header"/>
    <w:basedOn w:val="1"/>
    <w:link w:val="63"/>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uiPriority w:val="39"/>
    <w:pPr>
      <w:tabs>
        <w:tab w:val="left" w:pos="420"/>
        <w:tab w:val="right" w:leader="dot" w:pos="9174"/>
      </w:tabs>
    </w:pPr>
    <w:rPr>
      <w:szCs w:val="20"/>
    </w:rPr>
  </w:style>
  <w:style w:type="paragraph" w:styleId="22">
    <w:name w:val="toc 4"/>
    <w:basedOn w:val="1"/>
    <w:next w:val="1"/>
    <w:uiPriority w:val="39"/>
    <w:pPr>
      <w:widowControl/>
      <w:ind w:left="720"/>
      <w:jc w:val="left"/>
    </w:pPr>
    <w:rPr>
      <w:kern w:val="0"/>
      <w:sz w:val="18"/>
      <w:szCs w:val="18"/>
    </w:rPr>
  </w:style>
  <w:style w:type="paragraph" w:styleId="23">
    <w:name w:val="Subtitle"/>
    <w:basedOn w:val="1"/>
    <w:next w:val="1"/>
    <w:link w:val="87"/>
    <w:qFormat/>
    <w:uiPriority w:val="99"/>
    <w:pPr>
      <w:widowControl/>
      <w:spacing w:before="240" w:after="60" w:line="312" w:lineRule="auto"/>
      <w:jc w:val="center"/>
      <w:outlineLvl w:val="1"/>
    </w:pPr>
    <w:rPr>
      <w:rFonts w:ascii="Cambria" w:hAnsi="Cambria"/>
      <w:b/>
      <w:bCs/>
      <w:kern w:val="28"/>
      <w:sz w:val="32"/>
      <w:szCs w:val="32"/>
    </w:rPr>
  </w:style>
  <w:style w:type="paragraph" w:styleId="24">
    <w:name w:val="footnote text"/>
    <w:basedOn w:val="1"/>
    <w:link w:val="70"/>
    <w:uiPriority w:val="0"/>
    <w:pPr>
      <w:snapToGrid w:val="0"/>
      <w:jc w:val="left"/>
    </w:pPr>
    <w:rPr>
      <w:sz w:val="18"/>
      <w:szCs w:val="18"/>
    </w:rPr>
  </w:style>
  <w:style w:type="paragraph" w:styleId="25">
    <w:name w:val="toc 6"/>
    <w:basedOn w:val="1"/>
    <w:next w:val="1"/>
    <w:uiPriority w:val="99"/>
    <w:pPr>
      <w:widowControl/>
      <w:ind w:left="1200"/>
      <w:jc w:val="left"/>
    </w:pPr>
    <w:rPr>
      <w:kern w:val="0"/>
      <w:sz w:val="18"/>
      <w:szCs w:val="18"/>
    </w:rPr>
  </w:style>
  <w:style w:type="paragraph" w:styleId="26">
    <w:name w:val="toc 2"/>
    <w:basedOn w:val="1"/>
    <w:next w:val="1"/>
    <w:unhideWhenUsed/>
    <w:uiPriority w:val="39"/>
    <w:pPr>
      <w:tabs>
        <w:tab w:val="left" w:pos="735"/>
        <w:tab w:val="right" w:leader="dot" w:pos="9174"/>
      </w:tabs>
      <w:ind w:left="420" w:leftChars="200"/>
    </w:pPr>
    <w:rPr>
      <w:b/>
      <w:kern w:val="0"/>
      <w:szCs w:val="20"/>
    </w:rPr>
  </w:style>
  <w:style w:type="paragraph" w:styleId="27">
    <w:name w:val="toc 9"/>
    <w:basedOn w:val="1"/>
    <w:next w:val="1"/>
    <w:uiPriority w:val="99"/>
    <w:pPr>
      <w:widowControl/>
      <w:ind w:left="1920"/>
      <w:jc w:val="left"/>
    </w:pPr>
    <w:rPr>
      <w:kern w:val="0"/>
      <w:sz w:val="18"/>
      <w:szCs w:val="18"/>
    </w:rPr>
  </w:style>
  <w:style w:type="paragraph" w:styleId="28">
    <w:name w:val="HTML Preformatted"/>
    <w:basedOn w:val="1"/>
    <w:link w:val="8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宋体"/>
      <w:kern w:val="0"/>
      <w:sz w:val="24"/>
    </w:rPr>
  </w:style>
  <w:style w:type="paragraph" w:styleId="29">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31">
    <w:name w:val="Strong"/>
    <w:qFormat/>
    <w:uiPriority w:val="99"/>
    <w:rPr>
      <w:rFonts w:cs="Times New Roman"/>
      <w:b/>
      <w:bCs/>
    </w:rPr>
  </w:style>
  <w:style w:type="character" w:styleId="32">
    <w:name w:val="page number"/>
    <w:basedOn w:val="30"/>
    <w:uiPriority w:val="99"/>
    <w:rPr/>
  </w:style>
  <w:style w:type="character" w:styleId="33">
    <w:name w:val="FollowedHyperlink"/>
    <w:uiPriority w:val="99"/>
    <w:rPr>
      <w:rFonts w:cs="Times New Roman"/>
      <w:color w:val="800080"/>
      <w:u w:val="single"/>
    </w:rPr>
  </w:style>
  <w:style w:type="character" w:styleId="34">
    <w:name w:val="Emphasis"/>
    <w:qFormat/>
    <w:uiPriority w:val="99"/>
    <w:rPr>
      <w:rFonts w:cs="Times New Roman"/>
      <w:i/>
      <w:iCs/>
    </w:rPr>
  </w:style>
  <w:style w:type="character" w:styleId="35">
    <w:name w:val="line number"/>
    <w:uiPriority w:val="99"/>
    <w:rPr>
      <w:rFonts w:cs="Times New Roman"/>
    </w:rPr>
  </w:style>
  <w:style w:type="character" w:styleId="36">
    <w:name w:val="Hyperlink"/>
    <w:uiPriority w:val="99"/>
    <w:rPr>
      <w:color w:val="0000FF"/>
      <w:u w:val="single"/>
    </w:rPr>
  </w:style>
  <w:style w:type="character" w:styleId="37">
    <w:name w:val="annotation reference"/>
    <w:uiPriority w:val="99"/>
    <w:rPr>
      <w:sz w:val="21"/>
      <w:szCs w:val="21"/>
    </w:rPr>
  </w:style>
  <w:style w:type="character" w:styleId="38">
    <w:name w:val="footnote reference"/>
    <w:uiPriority w:val="0"/>
    <w:rPr>
      <w:vertAlign w:val="superscript"/>
    </w:rPr>
  </w:style>
  <w:style w:type="paragraph" w:customStyle="1" w:styleId="40">
    <w:name w:val="正文格式"/>
    <w:basedOn w:val="1"/>
    <w:uiPriority w:val="0"/>
    <w:pPr>
      <w:spacing w:line="360" w:lineRule="auto"/>
      <w:ind w:firstLine="480" w:firstLineChars="200"/>
    </w:pPr>
    <w:rPr>
      <w:rFonts w:eastAsia="仿宋_GB2312"/>
      <w:sz w:val="24"/>
    </w:rPr>
  </w:style>
  <w:style w:type="paragraph" w:customStyle="1" w:styleId="41">
    <w:name w:val="列出段落1"/>
    <w:basedOn w:val="1"/>
    <w:qFormat/>
    <w:uiPriority w:val="99"/>
    <w:pPr>
      <w:ind w:firstLine="420" w:firstLineChars="200"/>
    </w:pPr>
    <w:rPr>
      <w:szCs w:val="20"/>
    </w:rPr>
  </w:style>
  <w:style w:type="paragraph" w:customStyle="1" w:styleId="42">
    <w:name w:val="正文 A"/>
    <w:uiPriority w:val="0"/>
    <w:pPr>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 w:type="paragraph" w:customStyle="1" w:styleId="43">
    <w:name w:val="默认"/>
    <w:uiPriority w:val="99"/>
    <w:pPr>
      <w:jc w:val="both"/>
    </w:pPr>
    <w:rPr>
      <w:rFonts w:ascii="Helvetica" w:hAnsi="Arial Unicode MS" w:eastAsia="Arial Unicode MS" w:cs="Arial Unicode MS"/>
      <w:color w:val="000000"/>
      <w:sz w:val="22"/>
      <w:szCs w:val="22"/>
      <w:lang w:val="en-US" w:eastAsia="zh-CN" w:bidi="ar-SA"/>
    </w:rPr>
  </w:style>
  <w:style w:type="paragraph" w:customStyle="1" w:styleId="44">
    <w:name w:val="Defaul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5">
    <w:name w:val="List Paragraph"/>
    <w:basedOn w:val="1"/>
    <w:qFormat/>
    <w:uiPriority w:val="99"/>
    <w:pPr>
      <w:ind w:firstLine="420" w:firstLineChars="200"/>
    </w:pPr>
    <w:rPr>
      <w:szCs w:val="20"/>
    </w:rPr>
  </w:style>
  <w:style w:type="paragraph" w:customStyle="1" w:styleId="46">
    <w:name w:val="TOC Heading"/>
    <w:basedOn w:val="2"/>
    <w:next w:val="1"/>
    <w:unhideWhenUsed/>
    <w:qFormat/>
    <w:uiPriority w:val="39"/>
    <w:pPr>
      <w:keepNext/>
      <w:keepLines/>
      <w:spacing w:before="480" w:line="276" w:lineRule="auto"/>
      <w:outlineLvl w:val="9"/>
    </w:pPr>
    <w:rPr>
      <w:rFonts w:ascii="Cambria" w:hAnsi="Cambria" w:eastAsia="宋体" w:cs="黑体"/>
      <w:color w:val="365F90"/>
      <w:kern w:val="0"/>
      <w:sz w:val="28"/>
      <w:szCs w:val="28"/>
    </w:rPr>
  </w:style>
  <w:style w:type="paragraph" w:customStyle="1" w:styleId="47">
    <w:name w:val="No Spacing"/>
    <w:link w:val="82"/>
    <w:qFormat/>
    <w:uiPriority w:val="99"/>
    <w:rPr>
      <w:rFonts w:ascii="Calibri" w:hAnsi="Calibri" w:eastAsia="宋体" w:cs="Times New Roman"/>
      <w:sz w:val="22"/>
      <w:lang w:val="en-US" w:eastAsia="zh-CN" w:bidi="ar-SA"/>
    </w:rPr>
  </w:style>
  <w:style w:type="paragraph" w:customStyle="1" w:styleId="48">
    <w:name w:val="列出段落11"/>
    <w:basedOn w:val="1"/>
    <w:link w:val="83"/>
    <w:uiPriority w:val="99"/>
    <w:pPr>
      <w:ind w:firstLine="420" w:firstLineChars="200"/>
    </w:pPr>
    <w:rPr>
      <w:szCs w:val="21"/>
    </w:rPr>
  </w:style>
  <w:style w:type="paragraph" w:customStyle="1" w:styleId="49">
    <w:name w:val="No Spacing1"/>
    <w:uiPriority w:val="99"/>
    <w:rPr>
      <w:rFonts w:ascii="Calibri" w:hAnsi="Calibri" w:eastAsia="宋体" w:cs="Calibri"/>
      <w:sz w:val="22"/>
      <w:szCs w:val="22"/>
      <w:lang w:val="en-US" w:eastAsia="zh-CN" w:bidi="ar-SA"/>
    </w:rPr>
  </w:style>
  <w:style w:type="paragraph" w:customStyle="1" w:styleId="50">
    <w:name w:val="List Paragraph1"/>
    <w:basedOn w:val="1"/>
    <w:link w:val="85"/>
    <w:uiPriority w:val="99"/>
    <w:pPr>
      <w:widowControl/>
      <w:ind w:firstLine="420" w:firstLineChars="200"/>
      <w:jc w:val="left"/>
    </w:pPr>
    <w:rPr>
      <w:rFonts w:ascii="宋体" w:hAnsi="Calibri"/>
      <w:kern w:val="0"/>
      <w:sz w:val="24"/>
    </w:rPr>
  </w:style>
  <w:style w:type="paragraph" w:customStyle="1" w:styleId="51">
    <w:name w:val="ordinary-output"/>
    <w:basedOn w:val="1"/>
    <w:uiPriority w:val="99"/>
    <w:pPr>
      <w:widowControl/>
      <w:spacing w:before="100" w:beforeAutospacing="1" w:after="100" w:afterAutospacing="1"/>
      <w:jc w:val="left"/>
    </w:pPr>
    <w:rPr>
      <w:rFonts w:ascii="宋体" w:hAnsi="宋体" w:cs="宋体"/>
      <w:kern w:val="0"/>
      <w:sz w:val="24"/>
    </w:rPr>
  </w:style>
  <w:style w:type="paragraph" w:customStyle="1" w:styleId="52">
    <w:name w:val="tgt"/>
    <w:basedOn w:val="1"/>
    <w:uiPriority w:val="99"/>
    <w:pPr>
      <w:widowControl/>
      <w:spacing w:before="100" w:beforeAutospacing="1" w:after="100" w:afterAutospacing="1"/>
      <w:jc w:val="left"/>
    </w:pPr>
    <w:rPr>
      <w:rFonts w:ascii="宋体" w:hAnsi="宋体" w:cs="宋体"/>
      <w:kern w:val="0"/>
      <w:sz w:val="24"/>
    </w:rPr>
  </w:style>
  <w:style w:type="paragraph" w:customStyle="1" w:styleId="53">
    <w:name w:val="TOC Heading1"/>
    <w:basedOn w:val="2"/>
    <w:next w:val="1"/>
    <w:uiPriority w:val="99"/>
    <w:pPr>
      <w:spacing w:beforeLines="100" w:afterLines="50" w:line="276" w:lineRule="auto"/>
      <w:jc w:val="center"/>
      <w:outlineLvl w:val="9"/>
    </w:pPr>
    <w:rPr>
      <w:rFonts w:ascii="Cambria" w:hAnsi="Cambria" w:eastAsia="微软雅黑" w:cs="Cambria"/>
      <w:color w:val="365F91"/>
      <w:kern w:val="0"/>
      <w:sz w:val="28"/>
      <w:szCs w:val="28"/>
    </w:rPr>
  </w:style>
  <w:style w:type="paragraph" w:customStyle="1" w:styleId="54">
    <w:name w:val="0F0F715F3A8144758A0751798035833E"/>
    <w:uiPriority w:val="99"/>
    <w:pPr>
      <w:spacing w:after="200" w:line="276" w:lineRule="auto"/>
    </w:pPr>
    <w:rPr>
      <w:rFonts w:ascii="Calibri" w:hAnsi="Calibri" w:eastAsia="宋体" w:cs="Calibri"/>
      <w:sz w:val="22"/>
      <w:szCs w:val="22"/>
      <w:lang w:val="en-US" w:eastAsia="en-US" w:bidi="ar-SA"/>
    </w:rPr>
  </w:style>
  <w:style w:type="paragraph" w:customStyle="1" w:styleId="55">
    <w:name w:val="Revision"/>
    <w:hidden/>
    <w:semiHidden/>
    <w:uiPriority w:val="99"/>
    <w:rPr>
      <w:rFonts w:ascii="宋体" w:hAnsi="宋体" w:eastAsia="宋体" w:cs="宋体"/>
      <w:sz w:val="24"/>
      <w:szCs w:val="24"/>
      <w:lang w:val="en-US" w:eastAsia="zh-CN" w:bidi="ar-SA"/>
    </w:rPr>
  </w:style>
  <w:style w:type="paragraph" w:customStyle="1" w:styleId="56">
    <w:name w:val="二级"/>
    <w:basedOn w:val="50"/>
    <w:link w:val="88"/>
    <w:uiPriority w:val="99"/>
    <w:pPr>
      <w:widowControl w:val="0"/>
      <w:spacing w:afterLines="50" w:line="460" w:lineRule="exact"/>
      <w:ind w:firstLine="0" w:firstLineChars="0"/>
      <w:jc w:val="both"/>
      <w:outlineLvl w:val="1"/>
    </w:pPr>
    <w:rPr>
      <w:rFonts w:ascii="Times New Roman" w:hAnsi="楷体" w:eastAsia="楷体"/>
      <w:b/>
      <w:bCs/>
      <w:sz w:val="30"/>
      <w:szCs w:val="30"/>
    </w:rPr>
  </w:style>
  <w:style w:type="paragraph" w:customStyle="1" w:styleId="57">
    <w:name w:val="二级1"/>
    <w:basedOn w:val="56"/>
    <w:link w:val="89"/>
    <w:uiPriority w:val="99"/>
    <w:pPr>
      <w:spacing w:beforeLines="50"/>
      <w:ind w:hanging="825"/>
    </w:pPr>
  </w:style>
  <w:style w:type="paragraph" w:customStyle="1" w:styleId="58">
    <w:name w:val="2.1"/>
    <w:basedOn w:val="50"/>
    <w:link w:val="90"/>
    <w:uiPriority w:val="99"/>
    <w:pPr>
      <w:widowControl w:val="0"/>
      <w:numPr>
        <w:ilvl w:val="0"/>
        <w:numId w:val="1"/>
      </w:numPr>
      <w:spacing w:beforeLines="50" w:afterLines="50" w:line="460" w:lineRule="exact"/>
      <w:ind w:firstLine="0" w:firstLineChars="0"/>
      <w:jc w:val="both"/>
      <w:outlineLvl w:val="1"/>
    </w:pPr>
    <w:rPr>
      <w:rFonts w:ascii="Times New Roman" w:hAnsi="Times New Roman" w:eastAsia="楷体"/>
      <w:b/>
      <w:bCs/>
      <w:sz w:val="32"/>
      <w:szCs w:val="32"/>
    </w:rPr>
  </w:style>
  <w:style w:type="paragraph" w:customStyle="1" w:styleId="59">
    <w:name w:val="2.1.1"/>
    <w:basedOn w:val="50"/>
    <w:link w:val="91"/>
    <w:uiPriority w:val="99"/>
    <w:pPr>
      <w:widowControl w:val="0"/>
      <w:numPr>
        <w:ilvl w:val="0"/>
        <w:numId w:val="2"/>
      </w:numPr>
      <w:spacing w:beforeLines="50" w:afterLines="50" w:line="460" w:lineRule="exact"/>
      <w:ind w:firstLine="0" w:firstLineChars="0"/>
      <w:jc w:val="both"/>
      <w:outlineLvl w:val="2"/>
    </w:pPr>
    <w:rPr>
      <w:rFonts w:ascii="Times New Roman" w:hAnsi="Times New Roman" w:eastAsia="楷体"/>
      <w:b/>
      <w:bCs/>
      <w:sz w:val="30"/>
      <w:szCs w:val="30"/>
    </w:rPr>
  </w:style>
  <w:style w:type="paragraph" w:customStyle="1" w:styleId="60">
    <w:name w:val="2.1.1.1"/>
    <w:basedOn w:val="48"/>
    <w:link w:val="92"/>
    <w:uiPriority w:val="99"/>
    <w:pPr>
      <w:numPr>
        <w:ilvl w:val="0"/>
        <w:numId w:val="3"/>
      </w:numPr>
      <w:spacing w:beforeLines="50" w:afterLines="50" w:line="460" w:lineRule="exact"/>
      <w:ind w:firstLineChars="0"/>
      <w:outlineLvl w:val="3"/>
    </w:pPr>
    <w:rPr>
      <w:rFonts w:eastAsia="楷体"/>
      <w:b/>
      <w:bCs/>
      <w:sz w:val="28"/>
      <w:szCs w:val="28"/>
    </w:rPr>
  </w:style>
  <w:style w:type="paragraph" w:customStyle="1" w:styleId="61">
    <w:name w:val="2.1.2.1"/>
    <w:basedOn w:val="48"/>
    <w:link w:val="93"/>
    <w:uiPriority w:val="99"/>
    <w:pPr>
      <w:numPr>
        <w:ilvl w:val="0"/>
        <w:numId w:val="4"/>
      </w:numPr>
      <w:spacing w:beforeLines="50" w:afterLines="50" w:line="460" w:lineRule="exact"/>
      <w:ind w:firstLine="0" w:firstLineChars="0"/>
      <w:outlineLvl w:val="3"/>
    </w:pPr>
    <w:rPr>
      <w:rFonts w:eastAsia="楷体"/>
      <w:b/>
      <w:bCs/>
      <w:sz w:val="28"/>
      <w:szCs w:val="28"/>
    </w:rPr>
  </w:style>
  <w:style w:type="character" w:customStyle="1" w:styleId="62">
    <w:name w:val="页脚 Char"/>
    <w:link w:val="19"/>
    <w:uiPriority w:val="99"/>
    <w:rPr>
      <w:rFonts w:ascii="Times New Roman" w:hAnsi="Times New Roman"/>
      <w:kern w:val="2"/>
      <w:sz w:val="18"/>
      <w:szCs w:val="18"/>
    </w:rPr>
  </w:style>
  <w:style w:type="character" w:customStyle="1" w:styleId="63">
    <w:name w:val="页眉 Char"/>
    <w:link w:val="20"/>
    <w:uiPriority w:val="99"/>
    <w:rPr>
      <w:rFonts w:ascii="Times New Roman" w:hAnsi="Times New Roman"/>
      <w:kern w:val="2"/>
      <w:sz w:val="18"/>
      <w:szCs w:val="18"/>
    </w:rPr>
  </w:style>
  <w:style w:type="character" w:customStyle="1" w:styleId="64">
    <w:name w:val="正文文本 Char"/>
    <w:link w:val="11"/>
    <w:uiPriority w:val="0"/>
    <w:rPr>
      <w:rFonts w:eastAsia="宋体"/>
      <w:b/>
      <w:bCs/>
      <w:kern w:val="2"/>
      <w:sz w:val="32"/>
      <w:szCs w:val="24"/>
      <w:lang w:val="en-US" w:eastAsia="zh-CN" w:bidi="ar-SA"/>
    </w:rPr>
  </w:style>
  <w:style w:type="character" w:customStyle="1" w:styleId="65">
    <w:name w:val="标题 1 Char"/>
    <w:basedOn w:val="30"/>
    <w:link w:val="2"/>
    <w:uiPriority w:val="99"/>
    <w:rPr>
      <w:rFonts w:ascii="宋体" w:hAnsi="宋体" w:cs="宋体"/>
      <w:b/>
      <w:bCs/>
      <w:kern w:val="36"/>
      <w:sz w:val="31"/>
      <w:szCs w:val="31"/>
    </w:rPr>
  </w:style>
  <w:style w:type="character" w:customStyle="1" w:styleId="66">
    <w:name w:val="标题 2 Char"/>
    <w:basedOn w:val="30"/>
    <w:link w:val="3"/>
    <w:uiPriority w:val="99"/>
    <w:rPr>
      <w:rFonts w:ascii="Cambria" w:hAnsi="Cambria"/>
      <w:b/>
      <w:bCs/>
      <w:sz w:val="32"/>
      <w:szCs w:val="32"/>
    </w:rPr>
  </w:style>
  <w:style w:type="character" w:customStyle="1" w:styleId="67">
    <w:name w:val="标题 3 Char"/>
    <w:basedOn w:val="30"/>
    <w:link w:val="4"/>
    <w:uiPriority w:val="99"/>
    <w:rPr>
      <w:rFonts w:ascii="Times New Roman" w:hAnsi="Times New Roman"/>
      <w:b/>
      <w:bCs/>
      <w:kern w:val="2"/>
      <w:sz w:val="32"/>
      <w:szCs w:val="32"/>
    </w:rPr>
  </w:style>
  <w:style w:type="character" w:customStyle="1" w:styleId="68">
    <w:name w:val="标题 4 Char"/>
    <w:basedOn w:val="30"/>
    <w:link w:val="5"/>
    <w:uiPriority w:val="99"/>
    <w:rPr>
      <w:rFonts w:ascii="Cambria" w:hAnsi="Cambria"/>
      <w:b/>
      <w:bCs/>
      <w:sz w:val="28"/>
      <w:szCs w:val="28"/>
    </w:rPr>
  </w:style>
  <w:style w:type="character" w:customStyle="1" w:styleId="69">
    <w:name w:val="标题 5 Char"/>
    <w:basedOn w:val="30"/>
    <w:link w:val="6"/>
    <w:uiPriority w:val="99"/>
    <w:rPr>
      <w:b/>
      <w:bCs/>
      <w:sz w:val="28"/>
      <w:szCs w:val="28"/>
    </w:rPr>
  </w:style>
  <w:style w:type="character" w:customStyle="1" w:styleId="70">
    <w:name w:val="脚注文本 Char"/>
    <w:link w:val="24"/>
    <w:uiPriority w:val="0"/>
    <w:rPr>
      <w:rFonts w:ascii="Times New Roman" w:hAnsi="Times New Roman"/>
      <w:kern w:val="2"/>
      <w:sz w:val="18"/>
      <w:szCs w:val="18"/>
    </w:rPr>
  </w:style>
  <w:style w:type="character" w:customStyle="1" w:styleId="71">
    <w:name w:val="批注主题 Char"/>
    <w:link w:val="7"/>
    <w:uiPriority w:val="99"/>
    <w:rPr>
      <w:rFonts w:ascii="Times New Roman" w:hAnsi="Times New Roman"/>
      <w:b/>
      <w:bCs/>
      <w:kern w:val="2"/>
      <w:sz w:val="21"/>
      <w:szCs w:val="24"/>
    </w:rPr>
  </w:style>
  <w:style w:type="character" w:customStyle="1" w:styleId="72">
    <w:name w:val="批注文字 Char1"/>
    <w:basedOn w:val="30"/>
    <w:link w:val="8"/>
    <w:uiPriority w:val="99"/>
    <w:rPr>
      <w:rFonts w:ascii="Times New Roman" w:hAnsi="Times New Roman"/>
      <w:kern w:val="2"/>
      <w:sz w:val="21"/>
      <w:szCs w:val="24"/>
    </w:rPr>
  </w:style>
  <w:style w:type="character" w:customStyle="1" w:styleId="73">
    <w:name w:val="curm"/>
    <w:uiPriority w:val="0"/>
    <w:rPr>
      <w:rFonts w:cs="Times New Roman"/>
    </w:rPr>
  </w:style>
  <w:style w:type="character" w:customStyle="1" w:styleId="74">
    <w:name w:val="文档结构图 Char"/>
    <w:link w:val="10"/>
    <w:uiPriority w:val="99"/>
    <w:rPr>
      <w:rFonts w:ascii="宋体"/>
      <w:kern w:val="2"/>
      <w:sz w:val="18"/>
      <w:szCs w:val="18"/>
    </w:rPr>
  </w:style>
  <w:style w:type="character" w:customStyle="1" w:styleId="75">
    <w:name w:val="文档结构图 Char1"/>
    <w:basedOn w:val="30"/>
    <w:link w:val="10"/>
    <w:uiPriority w:val="0"/>
    <w:rPr>
      <w:rFonts w:ascii="宋体" w:hAnsi="Times New Roman"/>
      <w:kern w:val="2"/>
      <w:sz w:val="18"/>
      <w:szCs w:val="18"/>
    </w:rPr>
  </w:style>
  <w:style w:type="character" w:customStyle="1" w:styleId="76">
    <w:name w:val="批注文字 Char"/>
    <w:uiPriority w:val="99"/>
    <w:rPr>
      <w:kern w:val="2"/>
      <w:sz w:val="21"/>
      <w:szCs w:val="24"/>
    </w:rPr>
  </w:style>
  <w:style w:type="character" w:customStyle="1" w:styleId="77">
    <w:name w:val="批注框文本 Char"/>
    <w:link w:val="18"/>
    <w:uiPriority w:val="99"/>
    <w:rPr>
      <w:rFonts w:ascii="Times New Roman" w:hAnsi="Times New Roman"/>
      <w:kern w:val="2"/>
      <w:sz w:val="18"/>
      <w:szCs w:val="18"/>
    </w:rPr>
  </w:style>
  <w:style w:type="character" w:customStyle="1" w:styleId="78">
    <w:name w:val="apple-converted-space"/>
    <w:basedOn w:val="30"/>
    <w:uiPriority w:val="99"/>
    <w:rPr/>
  </w:style>
  <w:style w:type="character" w:customStyle="1" w:styleId="79">
    <w:name w:val="批注主题 Char1"/>
    <w:basedOn w:val="72"/>
    <w:uiPriority w:val="0"/>
    <w:rPr>
      <w:b/>
      <w:bCs/>
    </w:rPr>
  </w:style>
  <w:style w:type="character" w:customStyle="1" w:styleId="80">
    <w:name w:val="批注框文本 Char1"/>
    <w:basedOn w:val="30"/>
    <w:uiPriority w:val="0"/>
    <w:rPr>
      <w:kern w:val="2"/>
      <w:sz w:val="18"/>
      <w:szCs w:val="18"/>
    </w:rPr>
  </w:style>
  <w:style w:type="character" w:customStyle="1" w:styleId="81">
    <w:name w:val="HTML 预设格式 Char"/>
    <w:basedOn w:val="30"/>
    <w:link w:val="28"/>
    <w:uiPriority w:val="99"/>
    <w:rPr>
      <w:rFonts w:ascii="宋体" w:hAnsi="宋体" w:cs="宋体"/>
      <w:sz w:val="24"/>
      <w:szCs w:val="24"/>
    </w:rPr>
  </w:style>
  <w:style w:type="character" w:customStyle="1" w:styleId="82">
    <w:name w:val="无间隔 Char"/>
    <w:link w:val="47"/>
    <w:locked/>
    <w:uiPriority w:val="99"/>
    <w:rPr>
      <w:sz w:val="22"/>
    </w:rPr>
  </w:style>
  <w:style w:type="character" w:customStyle="1" w:styleId="83">
    <w:name w:val="列出段落11 Char"/>
    <w:link w:val="48"/>
    <w:locked/>
    <w:uiPriority w:val="99"/>
    <w:rPr>
      <w:rFonts w:ascii="Times New Roman" w:hAnsi="Times New Roman"/>
      <w:kern w:val="2"/>
      <w:sz w:val="21"/>
      <w:szCs w:val="21"/>
    </w:rPr>
  </w:style>
  <w:style w:type="character" w:customStyle="1" w:styleId="84">
    <w:name w:val="日期 Char"/>
    <w:basedOn w:val="30"/>
    <w:link w:val="16"/>
    <w:uiPriority w:val="99"/>
    <w:rPr>
      <w:rFonts w:ascii="宋体"/>
      <w:sz w:val="24"/>
      <w:szCs w:val="24"/>
    </w:rPr>
  </w:style>
  <w:style w:type="character" w:customStyle="1" w:styleId="85">
    <w:name w:val="List Paragraph1 Char"/>
    <w:link w:val="50"/>
    <w:locked/>
    <w:uiPriority w:val="99"/>
    <w:rPr>
      <w:rFonts w:ascii="宋体"/>
      <w:sz w:val="24"/>
      <w:szCs w:val="24"/>
    </w:rPr>
  </w:style>
  <w:style w:type="character" w:customStyle="1" w:styleId="86">
    <w:name w:val="high-light-bg"/>
    <w:uiPriority w:val="99"/>
    <w:rPr>
      <w:rFonts w:cs="Times New Roman"/>
    </w:rPr>
  </w:style>
  <w:style w:type="character" w:customStyle="1" w:styleId="87">
    <w:name w:val="副标题 Char"/>
    <w:basedOn w:val="30"/>
    <w:link w:val="23"/>
    <w:uiPriority w:val="99"/>
    <w:rPr>
      <w:rFonts w:ascii="Cambria" w:hAnsi="Cambria"/>
      <w:b/>
      <w:bCs/>
      <w:kern w:val="28"/>
      <w:sz w:val="32"/>
      <w:szCs w:val="32"/>
    </w:rPr>
  </w:style>
  <w:style w:type="character" w:customStyle="1" w:styleId="88">
    <w:name w:val="二级 Char"/>
    <w:link w:val="56"/>
    <w:locked/>
    <w:uiPriority w:val="99"/>
    <w:rPr>
      <w:rFonts w:ascii="Times New Roman" w:hAnsi="楷体" w:eastAsia="楷体"/>
      <w:b/>
      <w:bCs/>
      <w:sz w:val="30"/>
      <w:szCs w:val="30"/>
    </w:rPr>
  </w:style>
  <w:style w:type="character" w:customStyle="1" w:styleId="89">
    <w:name w:val="二级1 Char"/>
    <w:link w:val="57"/>
    <w:locked/>
    <w:uiPriority w:val="99"/>
    <w:rPr>
      <w:rFonts w:ascii="Times New Roman" w:hAnsi="楷体" w:eastAsia="楷体"/>
      <w:b/>
      <w:bCs/>
      <w:sz w:val="30"/>
      <w:szCs w:val="30"/>
    </w:rPr>
  </w:style>
  <w:style w:type="character" w:customStyle="1" w:styleId="90">
    <w:name w:val="2.1 Char"/>
    <w:link w:val="58"/>
    <w:locked/>
    <w:uiPriority w:val="99"/>
    <w:rPr>
      <w:rFonts w:ascii="Times New Roman" w:hAnsi="Times New Roman" w:eastAsia="楷体"/>
      <w:b/>
      <w:bCs/>
      <w:sz w:val="32"/>
      <w:szCs w:val="32"/>
    </w:rPr>
  </w:style>
  <w:style w:type="character" w:customStyle="1" w:styleId="91">
    <w:name w:val="2.1.1 Char"/>
    <w:link w:val="59"/>
    <w:locked/>
    <w:uiPriority w:val="99"/>
    <w:rPr>
      <w:rFonts w:ascii="Times New Roman" w:hAnsi="Times New Roman" w:eastAsia="楷体"/>
      <w:b/>
      <w:bCs/>
      <w:sz w:val="30"/>
      <w:szCs w:val="30"/>
    </w:rPr>
  </w:style>
  <w:style w:type="character" w:customStyle="1" w:styleId="92">
    <w:name w:val="2.1.1.1 Char"/>
    <w:link w:val="60"/>
    <w:locked/>
    <w:uiPriority w:val="99"/>
    <w:rPr>
      <w:rFonts w:ascii="Times New Roman" w:hAnsi="Times New Roman" w:eastAsia="楷体"/>
      <w:b/>
      <w:bCs/>
      <w:kern w:val="2"/>
      <w:sz w:val="28"/>
      <w:szCs w:val="28"/>
    </w:rPr>
  </w:style>
  <w:style w:type="character" w:customStyle="1" w:styleId="93">
    <w:name w:val="2.1.2.1 Char"/>
    <w:link w:val="61"/>
    <w:locked/>
    <w:uiPriority w:val="99"/>
    <w:rPr>
      <w:rFonts w:ascii="Times New Roman" w:hAnsi="Times New Roman" w:eastAsia="楷体"/>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notes" Target="footnotes.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3.emf"/><Relationship Id="rId32" Type="http://schemas.openxmlformats.org/officeDocument/2006/relationships/image" Target="media/image12.png"/><Relationship Id="rId31" Type="http://schemas.openxmlformats.org/officeDocument/2006/relationships/image" Target="media/image11.emf"/><Relationship Id="rId30" Type="http://schemas.openxmlformats.org/officeDocument/2006/relationships/image" Target="media/image10.png"/><Relationship Id="rId3" Type="http://schemas.openxmlformats.org/officeDocument/2006/relationships/settings" Target="settings.xml"/><Relationship Id="rId29" Type="http://schemas.openxmlformats.org/officeDocument/2006/relationships/image" Target="media/image9.emf"/><Relationship Id="rId28" Type="http://schemas.openxmlformats.org/officeDocument/2006/relationships/oleObject" Target="embeddings/oleObject2.bin"/><Relationship Id="rId27" Type="http://schemas.openxmlformats.org/officeDocument/2006/relationships/image" Target="media/image8.emf"/><Relationship Id="rId26" Type="http://schemas.openxmlformats.org/officeDocument/2006/relationships/image" Target="media/image7.emf"/><Relationship Id="rId25" Type="http://schemas.openxmlformats.org/officeDocument/2006/relationships/oleObject" Target="embeddings/oleObject1.bin"/><Relationship Id="rId24" Type="http://schemas.openxmlformats.org/officeDocument/2006/relationships/image" Target="media/image6.wmf"/><Relationship Id="rId23" Type="http://schemas.openxmlformats.org/officeDocument/2006/relationships/image" Target="media/image5.wmf"/><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tyles" Target="styles.xml"/><Relationship Id="rId19" Type="http://schemas.openxmlformats.org/officeDocument/2006/relationships/image" Target="media/image1.wmf"/><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1532;&#22235;&#23626;&#20840;&#22269;&#35770;&#2236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第四届全国论坛</Template>
  <Company>Sky123.Org</Company>
  <Pages>18</Pages>
  <Words>2323</Words>
  <Characters>13242</Characters>
  <Lines>110</Lines>
  <Paragraphs>31</Paragraphs>
  <ScaleCrop>false</ScaleCrop>
  <LinksUpToDate>false</LinksUpToDate>
  <CharactersWithSpaces>0</CharactersWithSpaces>
  <Application>WPS Office_9.1.0.5100_{F1E327BC-269C-435d-A152-05C5408002CA}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2015-06-15T15:17:00Z</dcterms:created>
  <dc:creator>严骊</dc:creator>
  <cp:lastModifiedBy>Administrator</cp:lastModifiedBy>
  <cp:lastPrinted>2013-06-18T08:33:00Z</cp:lastPrinted>
  <dcterms:modified xsi:type="dcterms:W3CDTF">2015-06-18T08:59:33Z</dcterms:modified>
  <dc:title>教高司函〔2011〕     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2052-9.1.0.5100</vt:lpwstr>
  </property>
</Properties>
</file>